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8" w:type="dxa"/>
        <w:tblLayout w:type="fixed"/>
        <w:tblLook w:val="04A0" w:firstRow="1" w:lastRow="0" w:firstColumn="1" w:lastColumn="0" w:noHBand="0" w:noVBand="1"/>
      </w:tblPr>
      <w:tblGrid>
        <w:gridCol w:w="10"/>
        <w:gridCol w:w="424"/>
        <w:gridCol w:w="2008"/>
        <w:gridCol w:w="6392"/>
        <w:gridCol w:w="14"/>
      </w:tblGrid>
      <w:tr w:rsidR="00D37B70" w:rsidRPr="005E7E1A" w14:paraId="22E8736B" w14:textId="77777777" w:rsidTr="005E0CB4">
        <w:tc>
          <w:tcPr>
            <w:tcW w:w="2442" w:type="dxa"/>
            <w:gridSpan w:val="3"/>
            <w:shd w:val="clear" w:color="auto" w:fill="auto"/>
          </w:tcPr>
          <w:p w14:paraId="17399F12" w14:textId="77777777" w:rsidR="00D37B70" w:rsidRPr="005E7E1A" w:rsidRDefault="00D37B70" w:rsidP="00732742">
            <w:pPr>
              <w:jc w:val="both"/>
              <w:rPr>
                <w:rStyle w:val="Firstpagetablebold"/>
                <w:rFonts w:cs="Arial"/>
                <w:color w:val="auto"/>
              </w:rPr>
            </w:pPr>
            <w:r w:rsidRPr="005E7E1A">
              <w:rPr>
                <w:rStyle w:val="Firstpagetablebold"/>
                <w:rFonts w:cs="Arial"/>
                <w:color w:val="auto"/>
              </w:rPr>
              <w:t>To:</w:t>
            </w:r>
          </w:p>
        </w:tc>
        <w:tc>
          <w:tcPr>
            <w:tcW w:w="6406" w:type="dxa"/>
            <w:gridSpan w:val="2"/>
            <w:shd w:val="clear" w:color="auto" w:fill="auto"/>
          </w:tcPr>
          <w:p w14:paraId="189839A7" w14:textId="77777777" w:rsidR="00D37B70" w:rsidRPr="005E7E1A" w:rsidRDefault="00D37B70" w:rsidP="00732742">
            <w:pPr>
              <w:jc w:val="both"/>
              <w:rPr>
                <w:rStyle w:val="Firstpagetablebold"/>
                <w:rFonts w:cs="Arial"/>
                <w:color w:val="auto"/>
              </w:rPr>
            </w:pPr>
            <w:r w:rsidRPr="005E7E1A">
              <w:rPr>
                <w:rStyle w:val="Firstpagetablebold"/>
                <w:rFonts w:cs="Arial"/>
                <w:color w:val="auto"/>
              </w:rPr>
              <w:t>Cabinet</w:t>
            </w:r>
          </w:p>
        </w:tc>
      </w:tr>
      <w:tr w:rsidR="00D37B70" w:rsidRPr="005E7E1A" w14:paraId="2F092AE2" w14:textId="77777777" w:rsidTr="005E0CB4">
        <w:tc>
          <w:tcPr>
            <w:tcW w:w="2442" w:type="dxa"/>
            <w:gridSpan w:val="3"/>
            <w:shd w:val="clear" w:color="auto" w:fill="auto"/>
          </w:tcPr>
          <w:p w14:paraId="4AA088BE" w14:textId="77777777" w:rsidR="00D37B70" w:rsidRPr="005E7E1A" w:rsidRDefault="00D37B70" w:rsidP="00732742">
            <w:pPr>
              <w:jc w:val="both"/>
              <w:rPr>
                <w:rStyle w:val="Firstpagetablebold"/>
                <w:rFonts w:cs="Arial"/>
                <w:color w:val="auto"/>
              </w:rPr>
            </w:pPr>
            <w:r w:rsidRPr="005E7E1A">
              <w:rPr>
                <w:rStyle w:val="Firstpagetablebold"/>
                <w:rFonts w:cs="Arial"/>
                <w:color w:val="auto"/>
              </w:rPr>
              <w:t>Date:</w:t>
            </w:r>
          </w:p>
        </w:tc>
        <w:tc>
          <w:tcPr>
            <w:tcW w:w="6406" w:type="dxa"/>
            <w:gridSpan w:val="2"/>
            <w:shd w:val="clear" w:color="auto" w:fill="auto"/>
          </w:tcPr>
          <w:p w14:paraId="0BAAB5B2" w14:textId="77777777" w:rsidR="00D37B70" w:rsidRPr="005E7E1A" w:rsidRDefault="00732742" w:rsidP="00732742">
            <w:pPr>
              <w:jc w:val="both"/>
              <w:rPr>
                <w:rFonts w:cs="Arial"/>
                <w:b/>
                <w:color w:val="auto"/>
              </w:rPr>
            </w:pPr>
            <w:r w:rsidRPr="005E7E1A">
              <w:rPr>
                <w:rStyle w:val="Firstpagetablebold"/>
                <w:rFonts w:cs="Arial"/>
                <w:color w:val="auto"/>
              </w:rPr>
              <w:t xml:space="preserve">16 </w:t>
            </w:r>
            <w:r w:rsidR="00A315B2" w:rsidRPr="005E7E1A">
              <w:rPr>
                <w:rStyle w:val="Firstpagetablebold"/>
                <w:rFonts w:cs="Arial"/>
                <w:color w:val="auto"/>
              </w:rPr>
              <w:t xml:space="preserve">March </w:t>
            </w:r>
            <w:r w:rsidRPr="005E7E1A">
              <w:rPr>
                <w:rStyle w:val="Firstpagetablebold"/>
                <w:rFonts w:cs="Arial"/>
                <w:color w:val="auto"/>
              </w:rPr>
              <w:t>2022</w:t>
            </w:r>
          </w:p>
        </w:tc>
      </w:tr>
      <w:tr w:rsidR="00D37B70" w:rsidRPr="005E7E1A" w14:paraId="10ABBBAB" w14:textId="77777777" w:rsidTr="005E0CB4">
        <w:tc>
          <w:tcPr>
            <w:tcW w:w="2442" w:type="dxa"/>
            <w:gridSpan w:val="3"/>
            <w:shd w:val="clear" w:color="auto" w:fill="auto"/>
          </w:tcPr>
          <w:p w14:paraId="0DBEE2F1" w14:textId="77777777" w:rsidR="00D37B70" w:rsidRPr="005E7E1A" w:rsidRDefault="00D37B70" w:rsidP="00732742">
            <w:pPr>
              <w:jc w:val="both"/>
              <w:rPr>
                <w:rStyle w:val="Firstpagetablebold"/>
                <w:rFonts w:cs="Arial"/>
                <w:color w:val="auto"/>
              </w:rPr>
            </w:pPr>
            <w:r w:rsidRPr="005E7E1A">
              <w:rPr>
                <w:rStyle w:val="Firstpagetablebold"/>
                <w:rFonts w:cs="Arial"/>
                <w:color w:val="auto"/>
              </w:rPr>
              <w:t>Report of:</w:t>
            </w:r>
          </w:p>
        </w:tc>
        <w:tc>
          <w:tcPr>
            <w:tcW w:w="6406" w:type="dxa"/>
            <w:gridSpan w:val="2"/>
            <w:shd w:val="clear" w:color="auto" w:fill="auto"/>
          </w:tcPr>
          <w:p w14:paraId="6F14EBEC" w14:textId="5F2F212C" w:rsidR="00D37B70" w:rsidRPr="005E7E1A" w:rsidRDefault="00D37B70" w:rsidP="00732742">
            <w:pPr>
              <w:jc w:val="both"/>
              <w:rPr>
                <w:rStyle w:val="Firstpagetablebold"/>
                <w:rFonts w:cs="Arial"/>
                <w:color w:val="auto"/>
              </w:rPr>
            </w:pPr>
            <w:r w:rsidRPr="005E7E1A">
              <w:rPr>
                <w:rStyle w:val="Firstpagetablebold"/>
                <w:rFonts w:cs="Arial"/>
                <w:color w:val="auto"/>
              </w:rPr>
              <w:t xml:space="preserve">Head of Community Services </w:t>
            </w:r>
          </w:p>
        </w:tc>
      </w:tr>
      <w:tr w:rsidR="00D37B70" w:rsidRPr="005E7E1A" w14:paraId="017871C6" w14:textId="77777777" w:rsidTr="005E0CB4">
        <w:tc>
          <w:tcPr>
            <w:tcW w:w="2442" w:type="dxa"/>
            <w:gridSpan w:val="3"/>
            <w:shd w:val="clear" w:color="auto" w:fill="auto"/>
          </w:tcPr>
          <w:p w14:paraId="274B3736" w14:textId="77777777" w:rsidR="00D37B70" w:rsidRPr="005E7E1A" w:rsidRDefault="00D37B70" w:rsidP="00732742">
            <w:pPr>
              <w:jc w:val="both"/>
              <w:rPr>
                <w:rStyle w:val="Firstpagetablebold"/>
                <w:rFonts w:cs="Arial"/>
                <w:color w:val="auto"/>
              </w:rPr>
            </w:pPr>
            <w:r w:rsidRPr="005E7E1A">
              <w:rPr>
                <w:rStyle w:val="Firstpagetablebold"/>
                <w:rFonts w:cs="Arial"/>
                <w:color w:val="auto"/>
              </w:rPr>
              <w:t xml:space="preserve">Title of Report: </w:t>
            </w:r>
          </w:p>
        </w:tc>
        <w:tc>
          <w:tcPr>
            <w:tcW w:w="6406" w:type="dxa"/>
            <w:gridSpan w:val="2"/>
            <w:shd w:val="clear" w:color="auto" w:fill="auto"/>
          </w:tcPr>
          <w:p w14:paraId="0B91CCEA" w14:textId="77777777" w:rsidR="000D0C27" w:rsidRPr="005E7E1A" w:rsidRDefault="00A315B2" w:rsidP="00732742">
            <w:pPr>
              <w:jc w:val="both"/>
              <w:rPr>
                <w:rStyle w:val="Firstpagetablebold"/>
                <w:rFonts w:cs="Arial"/>
                <w:color w:val="auto"/>
              </w:rPr>
            </w:pPr>
            <w:r w:rsidRPr="005E7E1A">
              <w:rPr>
                <w:rStyle w:val="Firstpagetablebold"/>
                <w:rFonts w:cs="Arial"/>
                <w:color w:val="auto"/>
              </w:rPr>
              <w:t xml:space="preserve">Equality, Diversity and Inclusion Strategy </w:t>
            </w:r>
          </w:p>
          <w:p w14:paraId="736EEC9E" w14:textId="77777777" w:rsidR="00F10E56" w:rsidRPr="005E7E1A" w:rsidRDefault="00F10E56" w:rsidP="00732742">
            <w:pPr>
              <w:jc w:val="both"/>
              <w:rPr>
                <w:rStyle w:val="Firstpagetablebold"/>
                <w:rFonts w:cs="Arial"/>
                <w:color w:val="auto"/>
              </w:rPr>
            </w:pPr>
          </w:p>
        </w:tc>
      </w:tr>
      <w:tr w:rsidR="00BB1563" w:rsidRPr="005E7E1A" w14:paraId="23373EE0" w14:textId="77777777" w:rsidTr="005E0C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366"/>
        </w:trPr>
        <w:tc>
          <w:tcPr>
            <w:tcW w:w="8824" w:type="dxa"/>
            <w:gridSpan w:val="3"/>
            <w:tcBorders>
              <w:bottom w:val="single" w:sz="8" w:space="0" w:color="000000" w:themeColor="text1"/>
            </w:tcBorders>
            <w:hideMark/>
          </w:tcPr>
          <w:p w14:paraId="04B15C86" w14:textId="77777777" w:rsidR="00D37B70" w:rsidRPr="005E7E1A" w:rsidRDefault="00D37B70" w:rsidP="00732742">
            <w:pPr>
              <w:jc w:val="both"/>
              <w:rPr>
                <w:rStyle w:val="Firstpagetablebold"/>
                <w:rFonts w:cs="Arial"/>
                <w:color w:val="auto"/>
              </w:rPr>
            </w:pPr>
            <w:r w:rsidRPr="005E7E1A">
              <w:rPr>
                <w:rStyle w:val="Firstpagetablebold"/>
                <w:rFonts w:cs="Arial"/>
                <w:color w:val="auto"/>
              </w:rPr>
              <w:t>Summary and recommendations</w:t>
            </w:r>
          </w:p>
        </w:tc>
      </w:tr>
      <w:tr w:rsidR="00BB1563" w:rsidRPr="005E7E1A" w14:paraId="609A6760" w14:textId="77777777" w:rsidTr="005E0C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1705"/>
        </w:trPr>
        <w:tc>
          <w:tcPr>
            <w:tcW w:w="2432" w:type="dxa"/>
            <w:gridSpan w:val="2"/>
            <w:tcBorders>
              <w:top w:val="single" w:sz="8" w:space="0" w:color="000000" w:themeColor="text1"/>
              <w:left w:val="single" w:sz="8" w:space="0" w:color="000000" w:themeColor="text1"/>
              <w:bottom w:val="nil"/>
              <w:right w:val="nil"/>
            </w:tcBorders>
            <w:hideMark/>
          </w:tcPr>
          <w:p w14:paraId="1973CD35" w14:textId="77777777" w:rsidR="00D37B70" w:rsidRPr="005E7E1A" w:rsidRDefault="00D37B70" w:rsidP="00732742">
            <w:pPr>
              <w:jc w:val="both"/>
              <w:rPr>
                <w:rStyle w:val="Firstpagetablebold"/>
                <w:rFonts w:cs="Arial"/>
                <w:color w:val="auto"/>
              </w:rPr>
            </w:pPr>
            <w:r w:rsidRPr="005E7E1A">
              <w:rPr>
                <w:rStyle w:val="Firstpagetablebold"/>
                <w:rFonts w:cs="Arial"/>
                <w:color w:val="auto"/>
              </w:rPr>
              <w:t>Purpose of report:</w:t>
            </w:r>
          </w:p>
        </w:tc>
        <w:tc>
          <w:tcPr>
            <w:tcW w:w="6392" w:type="dxa"/>
            <w:tcBorders>
              <w:top w:val="single" w:sz="8" w:space="0" w:color="000000" w:themeColor="text1"/>
              <w:left w:val="nil"/>
              <w:bottom w:val="nil"/>
              <w:right w:val="single" w:sz="8" w:space="0" w:color="000000" w:themeColor="text1"/>
            </w:tcBorders>
            <w:hideMark/>
          </w:tcPr>
          <w:p w14:paraId="73ECDAFF" w14:textId="24D2993D" w:rsidR="00D37B70" w:rsidRPr="005E0CB4" w:rsidRDefault="00732742" w:rsidP="00732742">
            <w:pPr>
              <w:jc w:val="both"/>
              <w:rPr>
                <w:rFonts w:asciiTheme="minorHAnsi" w:hAnsiTheme="minorHAnsi" w:cstheme="minorHAnsi"/>
                <w:color w:val="0B0C0C"/>
              </w:rPr>
            </w:pPr>
            <w:r w:rsidRPr="005E7E1A">
              <w:rPr>
                <w:rFonts w:cs="Arial"/>
                <w:color w:val="auto"/>
              </w:rPr>
              <w:t xml:space="preserve">The </w:t>
            </w:r>
            <w:r w:rsidRPr="005E7E1A">
              <w:rPr>
                <w:rStyle w:val="Firstpagetablebold"/>
                <w:rFonts w:cs="Arial"/>
                <w:b w:val="0"/>
                <w:color w:val="auto"/>
              </w:rPr>
              <w:t xml:space="preserve">Equality, Diversity and Inclusion Strategy demonstrates how Oxford City Council will continue to meet the </w:t>
            </w:r>
            <w:hyperlink r:id="rId8" w:history="1">
              <w:r w:rsidRPr="005E7E1A">
                <w:rPr>
                  <w:rStyle w:val="Hyperlink"/>
                  <w:rFonts w:cs="Arial"/>
                  <w:color w:val="003078"/>
                </w:rPr>
                <w:t>public sector Equality Duty</w:t>
              </w:r>
            </w:hyperlink>
            <w:r w:rsidRPr="005E7E1A">
              <w:rPr>
                <w:rFonts w:cs="Arial"/>
              </w:rPr>
              <w:t xml:space="preserve"> to </w:t>
            </w:r>
            <w:r w:rsidRPr="008B42B6">
              <w:rPr>
                <w:rFonts w:cs="Arial"/>
                <w:color w:val="0B0C0C"/>
              </w:rPr>
              <w:t>eliminate discrimination</w:t>
            </w:r>
            <w:r w:rsidRPr="005E7E1A">
              <w:rPr>
                <w:rFonts w:cs="Arial"/>
                <w:color w:val="0B0C0C"/>
              </w:rPr>
              <w:t xml:space="preserve">, </w:t>
            </w:r>
            <w:r w:rsidRPr="008B42B6">
              <w:rPr>
                <w:rFonts w:cs="Arial"/>
                <w:color w:val="0B0C0C"/>
              </w:rPr>
              <w:t>advance equality of opportunity</w:t>
            </w:r>
            <w:r w:rsidRPr="005E7E1A">
              <w:rPr>
                <w:rFonts w:cs="Arial"/>
                <w:color w:val="0B0C0C"/>
              </w:rPr>
              <w:t xml:space="preserve"> and </w:t>
            </w:r>
            <w:r w:rsidRPr="008B42B6">
              <w:rPr>
                <w:rFonts w:cs="Arial"/>
                <w:color w:val="0B0C0C"/>
              </w:rPr>
              <w:t xml:space="preserve">foster good relations between </w:t>
            </w:r>
            <w:r w:rsidRPr="005E7E1A">
              <w:rPr>
                <w:rFonts w:cs="Arial"/>
                <w:color w:val="0B0C0C"/>
              </w:rPr>
              <w:t>Oxford</w:t>
            </w:r>
            <w:r w:rsidR="005E7E1A">
              <w:rPr>
                <w:rFonts w:cs="Arial"/>
                <w:color w:val="0B0C0C"/>
              </w:rPr>
              <w:t>’</w:t>
            </w:r>
            <w:r w:rsidRPr="005E7E1A">
              <w:rPr>
                <w:rFonts w:cs="Arial"/>
                <w:color w:val="0B0C0C"/>
              </w:rPr>
              <w:t>s citizens.</w:t>
            </w:r>
          </w:p>
        </w:tc>
      </w:tr>
      <w:tr w:rsidR="00BB1563" w:rsidRPr="005E7E1A" w14:paraId="0F2158CB" w14:textId="77777777" w:rsidTr="005E0C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376"/>
        </w:trPr>
        <w:tc>
          <w:tcPr>
            <w:tcW w:w="2432" w:type="dxa"/>
            <w:gridSpan w:val="2"/>
            <w:tcBorders>
              <w:top w:val="nil"/>
              <w:left w:val="single" w:sz="8" w:space="0" w:color="000000" w:themeColor="text1"/>
              <w:bottom w:val="nil"/>
              <w:right w:val="nil"/>
            </w:tcBorders>
            <w:hideMark/>
          </w:tcPr>
          <w:p w14:paraId="1E7CC457" w14:textId="77777777" w:rsidR="00D37B70" w:rsidRPr="005E7E1A" w:rsidRDefault="00D37B70" w:rsidP="00732742">
            <w:pPr>
              <w:jc w:val="both"/>
              <w:rPr>
                <w:rStyle w:val="Firstpagetablebold"/>
                <w:rFonts w:cs="Arial"/>
                <w:color w:val="auto"/>
              </w:rPr>
            </w:pPr>
            <w:r w:rsidRPr="005E7E1A">
              <w:rPr>
                <w:rStyle w:val="Firstpagetablebold"/>
                <w:rFonts w:cs="Arial"/>
                <w:color w:val="auto"/>
              </w:rPr>
              <w:t>Key decision:</w:t>
            </w:r>
          </w:p>
        </w:tc>
        <w:tc>
          <w:tcPr>
            <w:tcW w:w="6392" w:type="dxa"/>
            <w:tcBorders>
              <w:top w:val="nil"/>
              <w:left w:val="nil"/>
              <w:bottom w:val="nil"/>
              <w:right w:val="single" w:sz="8" w:space="0" w:color="000000" w:themeColor="text1"/>
            </w:tcBorders>
            <w:hideMark/>
          </w:tcPr>
          <w:p w14:paraId="3384F7C0" w14:textId="77777777" w:rsidR="00D37B70" w:rsidRPr="005E7E1A" w:rsidRDefault="00D37B70" w:rsidP="00732742">
            <w:pPr>
              <w:jc w:val="both"/>
              <w:rPr>
                <w:rFonts w:cs="Arial"/>
                <w:color w:val="auto"/>
              </w:rPr>
            </w:pPr>
            <w:r w:rsidRPr="005E7E1A">
              <w:rPr>
                <w:rFonts w:cs="Arial"/>
                <w:color w:val="auto"/>
              </w:rPr>
              <w:t xml:space="preserve">Yes </w:t>
            </w:r>
          </w:p>
        </w:tc>
      </w:tr>
      <w:tr w:rsidR="00BB1563" w:rsidRPr="005E7E1A" w14:paraId="1FE773AF" w14:textId="77777777" w:rsidTr="005E0C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648"/>
        </w:trPr>
        <w:tc>
          <w:tcPr>
            <w:tcW w:w="2432" w:type="dxa"/>
            <w:gridSpan w:val="2"/>
            <w:tcBorders>
              <w:top w:val="nil"/>
              <w:left w:val="single" w:sz="8" w:space="0" w:color="000000" w:themeColor="text1"/>
              <w:bottom w:val="nil"/>
              <w:right w:val="nil"/>
            </w:tcBorders>
            <w:hideMark/>
          </w:tcPr>
          <w:p w14:paraId="0D5827A2" w14:textId="77777777" w:rsidR="00D37B70" w:rsidRPr="005E7E1A" w:rsidRDefault="00D37B70" w:rsidP="00732742">
            <w:pPr>
              <w:jc w:val="both"/>
              <w:rPr>
                <w:rStyle w:val="Firstpagetablebold"/>
                <w:rFonts w:cs="Arial"/>
                <w:color w:val="auto"/>
              </w:rPr>
            </w:pPr>
            <w:r w:rsidRPr="005E7E1A">
              <w:rPr>
                <w:rStyle w:val="Firstpagetablebold"/>
                <w:rFonts w:cs="Arial"/>
                <w:color w:val="auto"/>
              </w:rPr>
              <w:t>Cabinet Member:</w:t>
            </w:r>
          </w:p>
        </w:tc>
        <w:tc>
          <w:tcPr>
            <w:tcW w:w="6392" w:type="dxa"/>
            <w:tcBorders>
              <w:top w:val="nil"/>
              <w:left w:val="nil"/>
              <w:bottom w:val="nil"/>
              <w:right w:val="single" w:sz="8" w:space="0" w:color="000000" w:themeColor="text1"/>
            </w:tcBorders>
            <w:hideMark/>
          </w:tcPr>
          <w:p w14:paraId="09F53B0F" w14:textId="77777777" w:rsidR="00D37B70" w:rsidRPr="005E7E1A" w:rsidRDefault="00D37B70" w:rsidP="00732742">
            <w:pPr>
              <w:jc w:val="both"/>
              <w:rPr>
                <w:rFonts w:cs="Arial"/>
                <w:color w:val="auto"/>
              </w:rPr>
            </w:pPr>
            <w:r w:rsidRPr="005E7E1A">
              <w:rPr>
                <w:rFonts w:cs="Arial"/>
                <w:color w:val="auto"/>
              </w:rPr>
              <w:t>Councillor Shaista Aziz, Cabinet Member for Inclusive Communities</w:t>
            </w:r>
          </w:p>
        </w:tc>
      </w:tr>
      <w:tr w:rsidR="00BB1563" w:rsidRPr="005E7E1A" w14:paraId="1A308D4A" w14:textId="77777777" w:rsidTr="005E0C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637"/>
        </w:trPr>
        <w:tc>
          <w:tcPr>
            <w:tcW w:w="2432" w:type="dxa"/>
            <w:gridSpan w:val="2"/>
            <w:tcBorders>
              <w:top w:val="nil"/>
              <w:left w:val="single" w:sz="8" w:space="0" w:color="000000" w:themeColor="text1"/>
              <w:bottom w:val="nil"/>
              <w:right w:val="nil"/>
            </w:tcBorders>
          </w:tcPr>
          <w:p w14:paraId="0D4DD41F" w14:textId="77777777" w:rsidR="00D37B70" w:rsidRPr="005E7E1A" w:rsidRDefault="00D37B70" w:rsidP="00732742">
            <w:pPr>
              <w:jc w:val="both"/>
              <w:rPr>
                <w:rStyle w:val="Firstpagetablebold"/>
                <w:rFonts w:cs="Arial"/>
                <w:color w:val="auto"/>
              </w:rPr>
            </w:pPr>
            <w:r w:rsidRPr="005E7E1A">
              <w:rPr>
                <w:rStyle w:val="Firstpagetablebold"/>
                <w:rFonts w:cs="Arial"/>
                <w:color w:val="auto"/>
              </w:rPr>
              <w:t>Corporate Priority:</w:t>
            </w:r>
          </w:p>
        </w:tc>
        <w:tc>
          <w:tcPr>
            <w:tcW w:w="6392" w:type="dxa"/>
            <w:tcBorders>
              <w:top w:val="nil"/>
              <w:left w:val="nil"/>
              <w:bottom w:val="nil"/>
              <w:right w:val="single" w:sz="8" w:space="0" w:color="000000" w:themeColor="text1"/>
            </w:tcBorders>
          </w:tcPr>
          <w:p w14:paraId="7DCF710A" w14:textId="7C20D225" w:rsidR="00D37B70" w:rsidRPr="005E7E1A" w:rsidRDefault="005E0CB4" w:rsidP="00732742">
            <w:pPr>
              <w:jc w:val="both"/>
              <w:rPr>
                <w:rFonts w:cs="Arial"/>
                <w:color w:val="auto"/>
              </w:rPr>
            </w:pPr>
            <w:r>
              <w:rPr>
                <w:rFonts w:cs="Arial"/>
                <w:color w:val="auto"/>
              </w:rPr>
              <w:t xml:space="preserve">Support </w:t>
            </w:r>
            <w:r w:rsidR="00A315B2" w:rsidRPr="005E7E1A">
              <w:rPr>
                <w:rFonts w:cs="Arial"/>
                <w:color w:val="auto"/>
              </w:rPr>
              <w:t>Thriving Communities</w:t>
            </w:r>
          </w:p>
        </w:tc>
      </w:tr>
      <w:tr w:rsidR="00BB1563" w:rsidRPr="005E7E1A" w14:paraId="659976E3" w14:textId="77777777" w:rsidTr="005E0C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594"/>
        </w:trPr>
        <w:tc>
          <w:tcPr>
            <w:tcW w:w="2432" w:type="dxa"/>
            <w:gridSpan w:val="2"/>
            <w:tcBorders>
              <w:top w:val="nil"/>
              <w:left w:val="single" w:sz="8" w:space="0" w:color="000000" w:themeColor="text1"/>
              <w:bottom w:val="nil"/>
              <w:right w:val="nil"/>
            </w:tcBorders>
            <w:hideMark/>
          </w:tcPr>
          <w:p w14:paraId="53A8FEB6" w14:textId="77777777" w:rsidR="00D37B70" w:rsidRPr="005E7E1A" w:rsidRDefault="00D37B70" w:rsidP="00732742">
            <w:pPr>
              <w:jc w:val="both"/>
              <w:rPr>
                <w:rStyle w:val="Firstpagetablebold"/>
                <w:rFonts w:cs="Arial"/>
                <w:color w:val="auto"/>
              </w:rPr>
            </w:pPr>
            <w:r w:rsidRPr="005E7E1A">
              <w:rPr>
                <w:rStyle w:val="Firstpagetablebold"/>
                <w:rFonts w:cs="Arial"/>
                <w:color w:val="auto"/>
              </w:rPr>
              <w:t>Policy Framework:</w:t>
            </w:r>
          </w:p>
        </w:tc>
        <w:tc>
          <w:tcPr>
            <w:tcW w:w="6392" w:type="dxa"/>
            <w:tcBorders>
              <w:top w:val="nil"/>
              <w:left w:val="nil"/>
              <w:bottom w:val="nil"/>
              <w:right w:val="single" w:sz="8" w:space="0" w:color="000000" w:themeColor="text1"/>
            </w:tcBorders>
            <w:hideMark/>
          </w:tcPr>
          <w:p w14:paraId="15407A1D" w14:textId="620985F0" w:rsidR="00D37B70" w:rsidRPr="005E7E1A" w:rsidRDefault="00DC02C1" w:rsidP="00732742">
            <w:pPr>
              <w:jc w:val="both"/>
              <w:rPr>
                <w:rFonts w:cs="Arial"/>
                <w:color w:val="auto"/>
              </w:rPr>
            </w:pPr>
            <w:r>
              <w:rPr>
                <w:rFonts w:cs="Arial"/>
                <w:color w:val="auto"/>
              </w:rPr>
              <w:t>Council Strategy</w:t>
            </w:r>
            <w:r w:rsidR="00A315B2" w:rsidRPr="005E7E1A">
              <w:rPr>
                <w:rFonts w:cs="Arial"/>
                <w:color w:val="auto"/>
              </w:rPr>
              <w:t xml:space="preserve"> 2020-24</w:t>
            </w:r>
          </w:p>
        </w:tc>
      </w:tr>
      <w:tr w:rsidR="00BB1563" w:rsidRPr="005E7E1A" w14:paraId="0C35E7EF" w14:textId="77777777" w:rsidTr="005E0C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396"/>
        </w:trPr>
        <w:tc>
          <w:tcPr>
            <w:tcW w:w="8824" w:type="dxa"/>
            <w:gridSpan w:val="3"/>
            <w:tcBorders>
              <w:bottom w:val="single" w:sz="8" w:space="0" w:color="000000" w:themeColor="text1"/>
            </w:tcBorders>
          </w:tcPr>
          <w:p w14:paraId="4B72BFD3" w14:textId="77777777" w:rsidR="00D37B70" w:rsidRPr="005E7E1A" w:rsidRDefault="00A86564" w:rsidP="00732742">
            <w:pPr>
              <w:jc w:val="both"/>
              <w:rPr>
                <w:rFonts w:cs="Arial"/>
                <w:color w:val="auto"/>
              </w:rPr>
            </w:pPr>
            <w:r w:rsidRPr="005E7E1A">
              <w:rPr>
                <w:rStyle w:val="Firstpagetablebold"/>
                <w:rFonts w:cs="Arial"/>
                <w:color w:val="auto"/>
              </w:rPr>
              <w:t>Rec</w:t>
            </w:r>
            <w:r w:rsidR="00D37B70" w:rsidRPr="005E7E1A">
              <w:rPr>
                <w:rStyle w:val="Firstpagetablebold"/>
                <w:rFonts w:cs="Arial"/>
                <w:color w:val="auto"/>
              </w:rPr>
              <w:t>ommendation(s):That Cabinet resolves to:</w:t>
            </w:r>
          </w:p>
        </w:tc>
      </w:tr>
      <w:tr w:rsidR="001775BA" w:rsidRPr="005E7E1A" w14:paraId="585C131F" w14:textId="77777777" w:rsidTr="005E0C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400"/>
        </w:trPr>
        <w:tc>
          <w:tcPr>
            <w:tcW w:w="424" w:type="dxa"/>
            <w:tcBorders>
              <w:top w:val="single" w:sz="8" w:space="0" w:color="000000" w:themeColor="text1"/>
              <w:left w:val="single" w:sz="8" w:space="0" w:color="000000" w:themeColor="text1"/>
              <w:bottom w:val="single" w:sz="8" w:space="0" w:color="000000" w:themeColor="text1"/>
              <w:right w:val="nil"/>
            </w:tcBorders>
          </w:tcPr>
          <w:p w14:paraId="0B0F6CFB" w14:textId="77777777" w:rsidR="001775BA" w:rsidRPr="005E7E1A" w:rsidRDefault="0006773D" w:rsidP="00732742">
            <w:pPr>
              <w:spacing w:after="0"/>
              <w:jc w:val="both"/>
              <w:rPr>
                <w:rFonts w:cs="Arial"/>
                <w:color w:val="auto"/>
              </w:rPr>
            </w:pPr>
            <w:r>
              <w:rPr>
                <w:rFonts w:cs="Arial"/>
                <w:color w:val="auto"/>
              </w:rPr>
              <w:t xml:space="preserve"> </w:t>
            </w:r>
          </w:p>
        </w:tc>
        <w:tc>
          <w:tcPr>
            <w:tcW w:w="8400"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tcPr>
          <w:p w14:paraId="69D492A7" w14:textId="77777777" w:rsidR="0006773D" w:rsidRDefault="0006773D" w:rsidP="0006773D">
            <w:pPr>
              <w:jc w:val="both"/>
              <w:rPr>
                <w:rStyle w:val="Firstpagetablebold"/>
                <w:rFonts w:cs="Arial"/>
                <w:b w:val="0"/>
                <w:color w:val="auto"/>
              </w:rPr>
            </w:pPr>
            <w:r>
              <w:rPr>
                <w:rFonts w:cs="Arial"/>
                <w:color w:val="auto"/>
              </w:rPr>
              <w:t xml:space="preserve">1. </w:t>
            </w:r>
            <w:r w:rsidRPr="0006773D">
              <w:rPr>
                <w:rFonts w:cs="Arial"/>
                <w:color w:val="auto"/>
              </w:rPr>
              <w:t xml:space="preserve">Endorse the </w:t>
            </w:r>
            <w:r w:rsidRPr="0006773D">
              <w:rPr>
                <w:rStyle w:val="Firstpagetablebold"/>
                <w:rFonts w:cs="Arial"/>
                <w:b w:val="0"/>
                <w:color w:val="auto"/>
              </w:rPr>
              <w:t>Equality, Diversity and Inclusion Strategy.</w:t>
            </w:r>
          </w:p>
          <w:p w14:paraId="1B0AF6B9" w14:textId="77777777" w:rsidR="0006773D" w:rsidRDefault="0006773D" w:rsidP="0006773D">
            <w:pPr>
              <w:jc w:val="both"/>
              <w:rPr>
                <w:rFonts w:cs="Arial"/>
                <w:color w:val="auto"/>
              </w:rPr>
            </w:pPr>
            <w:r>
              <w:rPr>
                <w:rStyle w:val="Firstpagetablebold"/>
                <w:rFonts w:cs="Arial"/>
                <w:b w:val="0"/>
                <w:color w:val="auto"/>
              </w:rPr>
              <w:t>2. R</w:t>
            </w:r>
            <w:r>
              <w:rPr>
                <w:rFonts w:cs="Arial"/>
                <w:color w:val="auto"/>
              </w:rPr>
              <w:t xml:space="preserve">eview the activities in the strategy when new insights or data (such as the  </w:t>
            </w:r>
          </w:p>
          <w:p w14:paraId="0EA7D9D2" w14:textId="77777777" w:rsidR="001775BA" w:rsidRPr="005E7E1A" w:rsidRDefault="0006773D" w:rsidP="0006773D">
            <w:pPr>
              <w:jc w:val="both"/>
              <w:rPr>
                <w:rFonts w:cs="Arial"/>
                <w:color w:val="auto"/>
              </w:rPr>
            </w:pPr>
            <w:r>
              <w:rPr>
                <w:rFonts w:cs="Arial"/>
                <w:color w:val="auto"/>
              </w:rPr>
              <w:t xml:space="preserve">    </w:t>
            </w:r>
            <w:proofErr w:type="gramStart"/>
            <w:r>
              <w:rPr>
                <w:rFonts w:cs="Arial"/>
                <w:color w:val="auto"/>
              </w:rPr>
              <w:t>census</w:t>
            </w:r>
            <w:proofErr w:type="gramEnd"/>
            <w:r>
              <w:rPr>
                <w:rFonts w:cs="Arial"/>
                <w:color w:val="auto"/>
              </w:rPr>
              <w:t xml:space="preserve">) become available to ensure our work remains evidence led.  </w:t>
            </w:r>
          </w:p>
        </w:tc>
      </w:tr>
    </w:tbl>
    <w:p w14:paraId="124131FB" w14:textId="77777777" w:rsidR="00717F04" w:rsidRPr="005E7E1A" w:rsidRDefault="00717F04" w:rsidP="00732742">
      <w:pPr>
        <w:jc w:val="both"/>
        <w:rPr>
          <w:rFonts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41"/>
      </w:tblGrid>
      <w:tr w:rsidR="00D37B70" w:rsidRPr="005E7E1A" w14:paraId="7A2DE81D" w14:textId="77777777" w:rsidTr="005E0CB4">
        <w:trPr>
          <w:trHeight w:val="133"/>
        </w:trPr>
        <w:tc>
          <w:tcPr>
            <w:tcW w:w="87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27211B" w14:textId="77777777" w:rsidR="00D37B70" w:rsidRPr="005E7E1A" w:rsidRDefault="00D37B70" w:rsidP="00732742">
            <w:pPr>
              <w:jc w:val="both"/>
              <w:rPr>
                <w:rFonts w:cs="Arial"/>
                <w:color w:val="auto"/>
              </w:rPr>
            </w:pPr>
            <w:r w:rsidRPr="005E7E1A">
              <w:rPr>
                <w:rStyle w:val="Firstpagetablebold"/>
                <w:rFonts w:cs="Arial"/>
                <w:color w:val="auto"/>
              </w:rPr>
              <w:t>Appendices</w:t>
            </w:r>
          </w:p>
        </w:tc>
      </w:tr>
      <w:tr w:rsidR="00D37B70" w:rsidRPr="005E7E1A" w14:paraId="281C31B9" w14:textId="77777777" w:rsidTr="005E0CB4">
        <w:trPr>
          <w:trHeight w:val="553"/>
        </w:trPr>
        <w:tc>
          <w:tcPr>
            <w:tcW w:w="2411" w:type="dxa"/>
            <w:tcBorders>
              <w:top w:val="single" w:sz="8" w:space="0" w:color="000000" w:themeColor="text1"/>
              <w:left w:val="single" w:sz="8" w:space="0" w:color="000000" w:themeColor="text1"/>
              <w:bottom w:val="single" w:sz="4" w:space="0" w:color="auto"/>
              <w:right w:val="nil"/>
            </w:tcBorders>
            <w:shd w:val="clear" w:color="auto" w:fill="auto"/>
          </w:tcPr>
          <w:p w14:paraId="4E2EA289" w14:textId="77777777" w:rsidR="00D37B70" w:rsidRPr="005E7E1A" w:rsidRDefault="003320ED" w:rsidP="00732742">
            <w:pPr>
              <w:jc w:val="both"/>
              <w:rPr>
                <w:rFonts w:cs="Arial"/>
                <w:color w:val="auto"/>
              </w:rPr>
            </w:pPr>
            <w:r w:rsidRPr="005E7E1A">
              <w:rPr>
                <w:rFonts w:cs="Arial"/>
                <w:color w:val="auto"/>
              </w:rPr>
              <w:t>A</w:t>
            </w:r>
            <w:r w:rsidR="00286F4D" w:rsidRPr="005E7E1A">
              <w:rPr>
                <w:rFonts w:cs="Arial"/>
                <w:color w:val="auto"/>
              </w:rPr>
              <w:t xml:space="preserve">ppendix </w:t>
            </w:r>
            <w:r w:rsidR="00D37B70" w:rsidRPr="005E7E1A">
              <w:rPr>
                <w:rFonts w:cs="Arial"/>
                <w:color w:val="auto"/>
              </w:rPr>
              <w:t>1</w:t>
            </w:r>
          </w:p>
          <w:p w14:paraId="6E1E414D" w14:textId="77777777" w:rsidR="005C5338" w:rsidRPr="005E7E1A" w:rsidRDefault="003320ED" w:rsidP="00732742">
            <w:pPr>
              <w:jc w:val="both"/>
              <w:rPr>
                <w:rFonts w:cs="Arial"/>
                <w:color w:val="auto"/>
              </w:rPr>
            </w:pPr>
            <w:r w:rsidRPr="005E7E1A">
              <w:rPr>
                <w:rFonts w:cs="Arial"/>
                <w:color w:val="auto"/>
              </w:rPr>
              <w:t>A</w:t>
            </w:r>
            <w:r w:rsidR="00286F4D" w:rsidRPr="005E7E1A">
              <w:rPr>
                <w:rFonts w:cs="Arial"/>
                <w:color w:val="auto"/>
              </w:rPr>
              <w:t xml:space="preserve">ppendix </w:t>
            </w:r>
            <w:r w:rsidR="005C5338" w:rsidRPr="005E7E1A">
              <w:rPr>
                <w:rFonts w:cs="Arial"/>
                <w:color w:val="auto"/>
              </w:rPr>
              <w:t>2</w:t>
            </w:r>
          </w:p>
          <w:p w14:paraId="19BC1785" w14:textId="77777777" w:rsidR="001B1351" w:rsidRPr="005E7E1A" w:rsidRDefault="00732742" w:rsidP="00732742">
            <w:pPr>
              <w:jc w:val="both"/>
              <w:rPr>
                <w:rFonts w:cs="Arial"/>
                <w:color w:val="auto"/>
              </w:rPr>
            </w:pPr>
            <w:r w:rsidRPr="005E7E1A">
              <w:rPr>
                <w:rFonts w:cs="Arial"/>
                <w:color w:val="auto"/>
              </w:rPr>
              <w:t>Appendix 3</w:t>
            </w:r>
            <w:r w:rsidR="00C45864" w:rsidRPr="005E7E1A">
              <w:rPr>
                <w:rFonts w:cs="Arial"/>
                <w:color w:val="auto"/>
              </w:rPr>
              <w:t xml:space="preserve"> </w:t>
            </w:r>
          </w:p>
        </w:tc>
        <w:tc>
          <w:tcPr>
            <w:tcW w:w="6341" w:type="dxa"/>
            <w:tcBorders>
              <w:top w:val="single" w:sz="8" w:space="0" w:color="000000" w:themeColor="text1"/>
              <w:left w:val="nil"/>
              <w:bottom w:val="single" w:sz="4" w:space="0" w:color="auto"/>
              <w:right w:val="single" w:sz="8" w:space="0" w:color="000000" w:themeColor="text1"/>
            </w:tcBorders>
          </w:tcPr>
          <w:p w14:paraId="3FE2AD84" w14:textId="77777777" w:rsidR="00732742" w:rsidRDefault="00732742" w:rsidP="00732742">
            <w:pPr>
              <w:jc w:val="both"/>
              <w:rPr>
                <w:rStyle w:val="Firstpagetablebold"/>
                <w:rFonts w:cs="Arial"/>
                <w:b w:val="0"/>
                <w:color w:val="auto"/>
              </w:rPr>
            </w:pPr>
            <w:r w:rsidRPr="005E7E1A">
              <w:rPr>
                <w:rStyle w:val="Firstpagetablebold"/>
                <w:rFonts w:cs="Arial"/>
                <w:b w:val="0"/>
                <w:color w:val="auto"/>
              </w:rPr>
              <w:t>The Equality, Diversity and Inclusion Strategy</w:t>
            </w:r>
          </w:p>
          <w:p w14:paraId="5CFD6B4C" w14:textId="77777777" w:rsidR="003A7884" w:rsidRPr="005E7E1A" w:rsidRDefault="003A7884" w:rsidP="003A7884">
            <w:pPr>
              <w:jc w:val="both"/>
              <w:rPr>
                <w:rFonts w:cs="Arial"/>
                <w:color w:val="auto"/>
              </w:rPr>
            </w:pPr>
            <w:r w:rsidRPr="005E7E1A">
              <w:rPr>
                <w:rFonts w:cs="Arial"/>
                <w:color w:val="auto"/>
              </w:rPr>
              <w:t>Risk Register</w:t>
            </w:r>
          </w:p>
          <w:p w14:paraId="66CB80E1" w14:textId="010A23F2" w:rsidR="003A7884" w:rsidRPr="005E7E1A" w:rsidRDefault="003A7884" w:rsidP="00732742">
            <w:pPr>
              <w:jc w:val="both"/>
              <w:rPr>
                <w:rFonts w:cs="Arial"/>
                <w:color w:val="auto"/>
              </w:rPr>
            </w:pPr>
            <w:r w:rsidRPr="005E7E1A">
              <w:rPr>
                <w:rFonts w:cs="Arial"/>
                <w:color w:val="auto"/>
              </w:rPr>
              <w:t xml:space="preserve">Equalities Impact Assessment </w:t>
            </w:r>
            <w:bookmarkStart w:id="0" w:name="_GoBack"/>
            <w:bookmarkEnd w:id="0"/>
          </w:p>
        </w:tc>
      </w:tr>
    </w:tbl>
    <w:p w14:paraId="225A1DD4" w14:textId="77777777" w:rsidR="008C17EF" w:rsidRPr="005E7E1A" w:rsidRDefault="008C17EF" w:rsidP="00732742">
      <w:pPr>
        <w:pStyle w:val="EndnoteText"/>
        <w:jc w:val="both"/>
        <w:rPr>
          <w:b/>
          <w:bCs/>
          <w:color w:val="00B050"/>
          <w:sz w:val="24"/>
          <w:szCs w:val="24"/>
          <w:lang w:eastAsia="en-US"/>
        </w:rPr>
      </w:pPr>
    </w:p>
    <w:p w14:paraId="677CF484" w14:textId="77777777" w:rsidR="00D37B70" w:rsidRPr="005E7E1A" w:rsidRDefault="00D37B70" w:rsidP="00732742">
      <w:pPr>
        <w:pStyle w:val="Heading1"/>
        <w:jc w:val="both"/>
        <w:rPr>
          <w:rFonts w:cs="Arial"/>
          <w:color w:val="auto"/>
        </w:rPr>
      </w:pPr>
      <w:r w:rsidRPr="005E7E1A">
        <w:rPr>
          <w:rFonts w:cs="Arial"/>
          <w:color w:val="auto"/>
        </w:rPr>
        <w:t xml:space="preserve">Introduction and background </w:t>
      </w:r>
    </w:p>
    <w:p w14:paraId="3FBD6C9B" w14:textId="77777777" w:rsidR="00A315B2" w:rsidRPr="005E7E1A" w:rsidRDefault="00732742" w:rsidP="00732742">
      <w:pPr>
        <w:pStyle w:val="Heading1"/>
        <w:numPr>
          <w:ilvl w:val="0"/>
          <w:numId w:val="4"/>
        </w:numPr>
        <w:jc w:val="both"/>
        <w:rPr>
          <w:rFonts w:cs="Arial"/>
          <w:b w:val="0"/>
          <w:color w:val="auto"/>
        </w:rPr>
      </w:pPr>
      <w:r w:rsidRPr="005E7E1A">
        <w:rPr>
          <w:b w:val="0"/>
        </w:rPr>
        <w:t xml:space="preserve">Oxford City Council is </w:t>
      </w:r>
      <w:r w:rsidR="008B42B6" w:rsidRPr="005E7E1A">
        <w:rPr>
          <w:b w:val="0"/>
        </w:rPr>
        <w:t>committed to building a fairer, greener city in which everyone can thrive. To support flourishing communities</w:t>
      </w:r>
      <w:r w:rsidRPr="005E7E1A">
        <w:rPr>
          <w:b w:val="0"/>
        </w:rPr>
        <w:t>,</w:t>
      </w:r>
      <w:r w:rsidR="008B42B6" w:rsidRPr="005E7E1A">
        <w:rPr>
          <w:b w:val="0"/>
        </w:rPr>
        <w:t xml:space="preserve"> </w:t>
      </w:r>
      <w:r w:rsidRPr="005E7E1A">
        <w:rPr>
          <w:b w:val="0"/>
        </w:rPr>
        <w:t xml:space="preserve">the Council is </w:t>
      </w:r>
      <w:r w:rsidR="008B42B6" w:rsidRPr="005E7E1A">
        <w:rPr>
          <w:b w:val="0"/>
        </w:rPr>
        <w:t>focused on ensuring our services, investments</w:t>
      </w:r>
      <w:r w:rsidRPr="005E7E1A">
        <w:rPr>
          <w:b w:val="0"/>
        </w:rPr>
        <w:t>, and policy-making are designed to address Oxford</w:t>
      </w:r>
      <w:r w:rsidR="005E7E1A">
        <w:rPr>
          <w:b w:val="0"/>
        </w:rPr>
        <w:t>’</w:t>
      </w:r>
      <w:r w:rsidRPr="005E7E1A">
        <w:rPr>
          <w:b w:val="0"/>
        </w:rPr>
        <w:t>s social and financial inequalities.</w:t>
      </w:r>
    </w:p>
    <w:p w14:paraId="60FC4B6D" w14:textId="77777777" w:rsidR="00A315B2" w:rsidRPr="005E7E1A" w:rsidRDefault="008B42B6" w:rsidP="00732742">
      <w:pPr>
        <w:pStyle w:val="Heading1"/>
        <w:numPr>
          <w:ilvl w:val="0"/>
          <w:numId w:val="4"/>
        </w:numPr>
        <w:jc w:val="both"/>
        <w:rPr>
          <w:rFonts w:cs="Arial"/>
          <w:b w:val="0"/>
          <w:color w:val="auto"/>
        </w:rPr>
      </w:pPr>
      <w:r w:rsidRPr="005E7E1A">
        <w:rPr>
          <w:b w:val="0"/>
        </w:rPr>
        <w:lastRenderedPageBreak/>
        <w:t>Equality, diversity and inclusion</w:t>
      </w:r>
      <w:r w:rsidR="00732742" w:rsidRPr="005E7E1A">
        <w:rPr>
          <w:b w:val="0"/>
        </w:rPr>
        <w:t xml:space="preserve"> (EDI)</w:t>
      </w:r>
      <w:r w:rsidRPr="005E7E1A">
        <w:rPr>
          <w:b w:val="0"/>
        </w:rPr>
        <w:t xml:space="preserve"> are together a key focus for all our work. </w:t>
      </w:r>
      <w:r w:rsidR="00732742" w:rsidRPr="005E7E1A">
        <w:rPr>
          <w:b w:val="0"/>
        </w:rPr>
        <w:t xml:space="preserve">EDI </w:t>
      </w:r>
      <w:r w:rsidRPr="005E7E1A">
        <w:rPr>
          <w:b w:val="0"/>
        </w:rPr>
        <w:t>is a core part of all our policies and partnerships for our residents, staff and elected members</w:t>
      </w:r>
      <w:r w:rsidR="00732742" w:rsidRPr="005E7E1A">
        <w:rPr>
          <w:b w:val="0"/>
        </w:rPr>
        <w:t>.</w:t>
      </w:r>
    </w:p>
    <w:p w14:paraId="49E67BA0" w14:textId="77777777" w:rsidR="008B42B6" w:rsidRPr="005E7E1A" w:rsidRDefault="00732742" w:rsidP="00732742">
      <w:pPr>
        <w:pStyle w:val="ListParagraph"/>
        <w:numPr>
          <w:ilvl w:val="0"/>
          <w:numId w:val="4"/>
        </w:numPr>
        <w:jc w:val="both"/>
      </w:pPr>
      <w:r w:rsidRPr="005E7E1A">
        <w:t>Our C</w:t>
      </w:r>
      <w:r w:rsidR="008B42B6" w:rsidRPr="005E7E1A">
        <w:t xml:space="preserve">orporate </w:t>
      </w:r>
      <w:r w:rsidRPr="005E7E1A">
        <w:t>S</w:t>
      </w:r>
      <w:r w:rsidR="008B42B6" w:rsidRPr="005E7E1A">
        <w:t>trategy sets the four key priorities for the Council</w:t>
      </w:r>
      <w:r w:rsidRPr="005E7E1A">
        <w:t xml:space="preserve">, EDI </w:t>
      </w:r>
      <w:r w:rsidR="00E60D22">
        <w:t xml:space="preserve">is at the heart of </w:t>
      </w:r>
      <w:r w:rsidRPr="005E7E1A">
        <w:t>why we undertake this work.</w:t>
      </w:r>
    </w:p>
    <w:p w14:paraId="2A21799A" w14:textId="77777777" w:rsidR="008B42B6" w:rsidRPr="005E7E1A" w:rsidRDefault="00794FB1" w:rsidP="00732742">
      <w:pPr>
        <w:pStyle w:val="ListParagraph"/>
        <w:numPr>
          <w:ilvl w:val="0"/>
          <w:numId w:val="5"/>
        </w:numPr>
        <w:shd w:val="clear" w:color="auto" w:fill="FFFFFF"/>
        <w:spacing w:before="100" w:beforeAutospacing="1" w:after="100" w:afterAutospacing="1"/>
        <w:jc w:val="both"/>
        <w:rPr>
          <w:rFonts w:cstheme="minorHAnsi"/>
          <w:color w:val="37474F"/>
        </w:rPr>
      </w:pPr>
      <w:r w:rsidRPr="005E7E1A">
        <w:rPr>
          <w:rFonts w:ascii="Frutiger-Bold" w:eastAsiaTheme="minorHAnsi" w:hAnsi="Frutiger-Bold" w:cs="Frutiger-Bold"/>
          <w:b/>
          <w:bCs/>
          <w:color w:val="717BFF"/>
          <w:lang w:eastAsia="en-US"/>
        </w:rPr>
        <w:t xml:space="preserve">Priority 1: Enable an inclusive economy, </w:t>
      </w:r>
      <w:r w:rsidR="008B42B6" w:rsidRPr="003A014E">
        <w:rPr>
          <w:rFonts w:cstheme="minorHAnsi"/>
          <w:color w:val="auto"/>
        </w:rPr>
        <w:t>in which wealth is distributed across our communities and where all residents can share the benefits of growth</w:t>
      </w:r>
      <w:r w:rsidR="00732742" w:rsidRPr="003A014E">
        <w:rPr>
          <w:rFonts w:cstheme="minorHAnsi"/>
          <w:color w:val="auto"/>
        </w:rPr>
        <w:t>.</w:t>
      </w:r>
    </w:p>
    <w:p w14:paraId="6142BF91" w14:textId="77777777" w:rsidR="008B42B6" w:rsidRPr="005E7E1A" w:rsidRDefault="00794FB1" w:rsidP="00732742">
      <w:pPr>
        <w:pStyle w:val="ListParagraph"/>
        <w:numPr>
          <w:ilvl w:val="0"/>
          <w:numId w:val="5"/>
        </w:numPr>
        <w:shd w:val="clear" w:color="auto" w:fill="FFFFFF"/>
        <w:spacing w:before="100" w:beforeAutospacing="1" w:after="100" w:afterAutospacing="1"/>
        <w:jc w:val="both"/>
        <w:rPr>
          <w:rFonts w:cstheme="minorHAnsi"/>
          <w:color w:val="37474F"/>
        </w:rPr>
      </w:pPr>
      <w:r w:rsidRPr="005E7E1A">
        <w:rPr>
          <w:rFonts w:ascii="Frutiger-Bold" w:eastAsiaTheme="minorHAnsi" w:hAnsi="Frutiger-Bold" w:cs="Frutiger-Bold"/>
          <w:b/>
          <w:bCs/>
          <w:color w:val="3BC0F1"/>
          <w:lang w:eastAsia="en-US"/>
        </w:rPr>
        <w:t xml:space="preserve">Priority 2: Deliver more, affordable housing </w:t>
      </w:r>
      <w:r w:rsidR="008B42B6" w:rsidRPr="003A014E">
        <w:rPr>
          <w:rFonts w:cstheme="minorHAnsi"/>
          <w:color w:val="auto"/>
        </w:rPr>
        <w:t>to address Oxford</w:t>
      </w:r>
      <w:r w:rsidR="005E7E1A" w:rsidRPr="003A014E">
        <w:rPr>
          <w:rFonts w:cstheme="minorHAnsi"/>
          <w:color w:val="auto"/>
        </w:rPr>
        <w:t>’</w:t>
      </w:r>
      <w:r w:rsidR="008B42B6" w:rsidRPr="003A014E">
        <w:rPr>
          <w:rFonts w:cstheme="minorHAnsi"/>
          <w:color w:val="auto"/>
        </w:rPr>
        <w:t>s housing crisis where existing homes are unaffordable for many and demand for good quality homes outstrips what is available</w:t>
      </w:r>
      <w:r w:rsidR="00732742" w:rsidRPr="003A014E">
        <w:rPr>
          <w:rFonts w:cstheme="minorHAnsi"/>
          <w:color w:val="auto"/>
        </w:rPr>
        <w:t>.</w:t>
      </w:r>
    </w:p>
    <w:p w14:paraId="58BC0779" w14:textId="77777777" w:rsidR="008B42B6" w:rsidRPr="005E7E1A" w:rsidRDefault="00794FB1" w:rsidP="00732742">
      <w:pPr>
        <w:pStyle w:val="ListParagraph"/>
        <w:numPr>
          <w:ilvl w:val="0"/>
          <w:numId w:val="5"/>
        </w:numPr>
        <w:shd w:val="clear" w:color="auto" w:fill="FFFFFF"/>
        <w:spacing w:before="100" w:beforeAutospacing="1" w:after="100" w:afterAutospacing="1"/>
        <w:jc w:val="both"/>
        <w:rPr>
          <w:rFonts w:cstheme="minorHAnsi"/>
          <w:color w:val="37474F"/>
        </w:rPr>
      </w:pPr>
      <w:r w:rsidRPr="005E7E1A">
        <w:rPr>
          <w:rFonts w:ascii="Frutiger-Bold" w:eastAsiaTheme="minorHAnsi" w:hAnsi="Frutiger-Bold" w:cs="Frutiger-Bold"/>
          <w:b/>
          <w:bCs/>
          <w:color w:val="FF8503"/>
          <w:lang w:eastAsia="en-US"/>
        </w:rPr>
        <w:t xml:space="preserve">Priority 3: Support thriving communities, </w:t>
      </w:r>
      <w:r w:rsidR="008B42B6" w:rsidRPr="003A014E">
        <w:rPr>
          <w:rFonts w:cstheme="minorHAnsi"/>
          <w:color w:val="auto"/>
        </w:rPr>
        <w:t>to help ensure everyone is able to play a full part in the life of our city</w:t>
      </w:r>
      <w:r w:rsidR="00732742" w:rsidRPr="003A014E">
        <w:rPr>
          <w:rFonts w:cstheme="minorHAnsi"/>
          <w:color w:val="auto"/>
        </w:rPr>
        <w:t>.</w:t>
      </w:r>
    </w:p>
    <w:p w14:paraId="40779914" w14:textId="77777777" w:rsidR="008B42B6" w:rsidRPr="005E7E1A" w:rsidRDefault="00794FB1" w:rsidP="00732742">
      <w:pPr>
        <w:pStyle w:val="ListParagraph"/>
        <w:numPr>
          <w:ilvl w:val="0"/>
          <w:numId w:val="5"/>
        </w:numPr>
        <w:shd w:val="clear" w:color="auto" w:fill="FFFFFF"/>
        <w:spacing w:before="100" w:beforeAutospacing="1" w:after="100" w:afterAutospacing="1"/>
        <w:jc w:val="both"/>
        <w:rPr>
          <w:rFonts w:cstheme="minorHAnsi"/>
          <w:color w:val="37474F"/>
        </w:rPr>
      </w:pPr>
      <w:r w:rsidRPr="005E7E1A">
        <w:rPr>
          <w:rFonts w:ascii="Frutiger-Bold" w:eastAsiaTheme="minorHAnsi" w:hAnsi="Frutiger-Bold" w:cs="Frutiger-Bold"/>
          <w:b/>
          <w:bCs/>
          <w:color w:val="3BFF00"/>
          <w:lang w:eastAsia="en-US"/>
        </w:rPr>
        <w:t>Priority 4: Pursue a zero</w:t>
      </w:r>
      <w:r w:rsidR="0006773D">
        <w:rPr>
          <w:rFonts w:ascii="Frutiger-Bold" w:eastAsiaTheme="minorHAnsi" w:hAnsi="Frutiger-Bold" w:cs="Frutiger-Bold"/>
          <w:b/>
          <w:bCs/>
          <w:color w:val="3BFF00"/>
          <w:lang w:eastAsia="en-US"/>
        </w:rPr>
        <w:t>-</w:t>
      </w:r>
      <w:r w:rsidRPr="005E7E1A">
        <w:rPr>
          <w:rFonts w:ascii="Frutiger-Bold" w:eastAsiaTheme="minorHAnsi" w:hAnsi="Frutiger-Bold" w:cs="Frutiger-Bold"/>
          <w:b/>
          <w:bCs/>
          <w:color w:val="3BFF00"/>
          <w:lang w:eastAsia="en-US"/>
        </w:rPr>
        <w:t xml:space="preserve">carbon Oxford, </w:t>
      </w:r>
      <w:r w:rsidR="008B42B6" w:rsidRPr="003A014E">
        <w:rPr>
          <w:rFonts w:cstheme="minorHAnsi"/>
          <w:color w:val="auto"/>
        </w:rPr>
        <w:t>acting on the clear message from Oxford</w:t>
      </w:r>
      <w:r w:rsidR="005E7E1A" w:rsidRPr="003A014E">
        <w:rPr>
          <w:rFonts w:cstheme="minorHAnsi"/>
          <w:color w:val="auto"/>
        </w:rPr>
        <w:t>’</w:t>
      </w:r>
      <w:r w:rsidR="008B42B6" w:rsidRPr="003A014E">
        <w:rPr>
          <w:rFonts w:cstheme="minorHAnsi"/>
          <w:color w:val="auto"/>
        </w:rPr>
        <w:t>s Citizens</w:t>
      </w:r>
      <w:r w:rsidR="005E7E1A" w:rsidRPr="003A014E">
        <w:rPr>
          <w:rFonts w:cstheme="minorHAnsi"/>
          <w:color w:val="auto"/>
        </w:rPr>
        <w:t>’</w:t>
      </w:r>
      <w:r w:rsidR="008B42B6" w:rsidRPr="003A014E">
        <w:rPr>
          <w:rFonts w:cstheme="minorHAnsi"/>
          <w:color w:val="auto"/>
        </w:rPr>
        <w:t xml:space="preserve"> Assembly on Climate Change to continue to take a lead in reducing emissions and increasing biodiversity</w:t>
      </w:r>
      <w:r w:rsidR="00732742" w:rsidRPr="003A014E">
        <w:rPr>
          <w:rFonts w:cstheme="minorHAnsi"/>
          <w:color w:val="auto"/>
        </w:rPr>
        <w:t>.</w:t>
      </w:r>
    </w:p>
    <w:p w14:paraId="4738723A" w14:textId="77777777" w:rsidR="00F3189F" w:rsidRPr="005E7E1A" w:rsidRDefault="00F3189F" w:rsidP="00732742">
      <w:pPr>
        <w:pStyle w:val="Heading1"/>
        <w:jc w:val="both"/>
        <w:rPr>
          <w:rFonts w:cs="Arial"/>
          <w:color w:val="auto"/>
        </w:rPr>
      </w:pPr>
      <w:r w:rsidRPr="005E7E1A">
        <w:rPr>
          <w:rFonts w:cs="Arial"/>
          <w:color w:val="auto"/>
        </w:rPr>
        <w:t>Context</w:t>
      </w:r>
    </w:p>
    <w:p w14:paraId="5B82EC5E" w14:textId="77777777" w:rsidR="00732742" w:rsidRPr="005E7E1A" w:rsidRDefault="00732742" w:rsidP="00732742">
      <w:pPr>
        <w:pStyle w:val="ListParagraph"/>
        <w:numPr>
          <w:ilvl w:val="0"/>
          <w:numId w:val="4"/>
        </w:numPr>
        <w:jc w:val="both"/>
        <w:rPr>
          <w:rFonts w:cs="Arial"/>
          <w:color w:val="auto"/>
        </w:rPr>
      </w:pPr>
      <w:r w:rsidRPr="005E7E1A">
        <w:t xml:space="preserve">Oxford is a wealthy city but </w:t>
      </w:r>
      <w:r w:rsidR="00E60D22">
        <w:t xml:space="preserve">has </w:t>
      </w:r>
      <w:r w:rsidRPr="005E7E1A">
        <w:t>stark inequalities.</w:t>
      </w:r>
      <w:r w:rsidR="0006773D">
        <w:t xml:space="preserve"> For example,</w:t>
      </w:r>
      <w:r w:rsidRPr="005E7E1A">
        <w:t xml:space="preserve"> </w:t>
      </w:r>
      <w:r w:rsidR="00F3189F" w:rsidRPr="005E7E1A">
        <w:rPr>
          <w:rFonts w:cs="Arial"/>
          <w:color w:val="auto"/>
        </w:rPr>
        <w:t xml:space="preserve">10 out of 83 neighbourhoods </w:t>
      </w:r>
      <w:r w:rsidR="00E60D22">
        <w:rPr>
          <w:rFonts w:cs="Arial"/>
          <w:color w:val="auto"/>
        </w:rPr>
        <w:t xml:space="preserve">are </w:t>
      </w:r>
      <w:r w:rsidR="00F3189F" w:rsidRPr="005E7E1A">
        <w:rPr>
          <w:rFonts w:cs="Arial"/>
          <w:color w:val="auto"/>
        </w:rPr>
        <w:t>amongst the 20% most deprived in England</w:t>
      </w:r>
      <w:r w:rsidR="00E60D22">
        <w:rPr>
          <w:rFonts w:cs="Arial"/>
          <w:color w:val="auto"/>
        </w:rPr>
        <w:t>,</w:t>
      </w:r>
      <w:r w:rsidR="00F3189F" w:rsidRPr="005E7E1A">
        <w:rPr>
          <w:rFonts w:cs="Arial"/>
          <w:color w:val="auto"/>
        </w:rPr>
        <w:t xml:space="preserve"> and one i</w:t>
      </w:r>
      <w:r w:rsidR="00E60D22">
        <w:rPr>
          <w:rFonts w:cs="Arial"/>
          <w:color w:val="auto"/>
        </w:rPr>
        <w:t>s i</w:t>
      </w:r>
      <w:r w:rsidR="00F3189F" w:rsidRPr="005E7E1A">
        <w:rPr>
          <w:rFonts w:cs="Arial"/>
          <w:color w:val="auto"/>
        </w:rPr>
        <w:t xml:space="preserve">n the most deprived 10%. </w:t>
      </w:r>
    </w:p>
    <w:p w14:paraId="48B2AF0F" w14:textId="77777777" w:rsidR="00F3189F" w:rsidRPr="005E7E1A" w:rsidRDefault="00F3189F" w:rsidP="00732742">
      <w:pPr>
        <w:pStyle w:val="ListParagraph"/>
        <w:numPr>
          <w:ilvl w:val="0"/>
          <w:numId w:val="4"/>
        </w:numPr>
        <w:jc w:val="both"/>
        <w:rPr>
          <w:rFonts w:cs="Arial"/>
          <w:color w:val="auto"/>
        </w:rPr>
      </w:pPr>
      <w:r w:rsidRPr="005E7E1A">
        <w:rPr>
          <w:rFonts w:cs="Arial"/>
          <w:color w:val="auto"/>
        </w:rPr>
        <w:t xml:space="preserve">22% of adults have no or low educational qualifications, and </w:t>
      </w:r>
      <w:r w:rsidR="00E60D22">
        <w:rPr>
          <w:rFonts w:cs="Arial"/>
          <w:color w:val="auto"/>
        </w:rPr>
        <w:t xml:space="preserve">the </w:t>
      </w:r>
      <w:r w:rsidRPr="005E7E1A">
        <w:rPr>
          <w:rFonts w:cs="Arial"/>
          <w:color w:val="auto"/>
        </w:rPr>
        <w:t>20</w:t>
      </w:r>
      <w:r w:rsidR="00E60D22">
        <w:rPr>
          <w:rFonts w:cs="Arial"/>
          <w:color w:val="auto"/>
        </w:rPr>
        <w:t xml:space="preserve">18 schools census data showed </w:t>
      </w:r>
      <w:r w:rsidRPr="005E7E1A">
        <w:rPr>
          <w:rFonts w:cs="Arial"/>
          <w:color w:val="auto"/>
        </w:rPr>
        <w:t xml:space="preserve">32% of children did not have English as a first language. One in six residents has a </w:t>
      </w:r>
      <w:r w:rsidR="00E60D22">
        <w:rPr>
          <w:rFonts w:cs="Arial"/>
          <w:color w:val="auto"/>
        </w:rPr>
        <w:t>primary</w:t>
      </w:r>
      <w:r w:rsidRPr="005E7E1A">
        <w:rPr>
          <w:rFonts w:cs="Arial"/>
          <w:color w:val="auto"/>
        </w:rPr>
        <w:t xml:space="preserve"> language other than English</w:t>
      </w:r>
      <w:r w:rsidRPr="005E7E1A">
        <w:rPr>
          <w:rStyle w:val="FootnoteReference"/>
          <w:rFonts w:cs="Arial"/>
          <w:color w:val="auto"/>
        </w:rPr>
        <w:footnoteReference w:id="1"/>
      </w:r>
      <w:r w:rsidRPr="005E7E1A">
        <w:rPr>
          <w:rFonts w:cs="Arial"/>
          <w:color w:val="auto"/>
        </w:rPr>
        <w:t xml:space="preserve">. </w:t>
      </w:r>
      <w:r w:rsidR="00732742" w:rsidRPr="005E7E1A">
        <w:rPr>
          <w:rFonts w:cs="Arial"/>
          <w:color w:val="auto"/>
        </w:rPr>
        <w:t>Oxford is one of the most diverse cities in the UK, with 28% of the population born outside the UK.</w:t>
      </w:r>
    </w:p>
    <w:p w14:paraId="09F2B549" w14:textId="77777777" w:rsidR="00942CD1" w:rsidRPr="005E7E1A" w:rsidRDefault="00F3189F" w:rsidP="00732742">
      <w:pPr>
        <w:pStyle w:val="ListParagraph"/>
        <w:numPr>
          <w:ilvl w:val="0"/>
          <w:numId w:val="4"/>
        </w:numPr>
        <w:jc w:val="both"/>
        <w:rPr>
          <w:rFonts w:cs="Arial"/>
          <w:color w:val="auto"/>
        </w:rPr>
      </w:pPr>
      <w:r w:rsidRPr="005E7E1A">
        <w:rPr>
          <w:rFonts w:cs="Arial"/>
          <w:color w:val="auto"/>
        </w:rPr>
        <w:t>Based on Indices of Deprivation 2019</w:t>
      </w:r>
      <w:r w:rsidRPr="005E7E1A">
        <w:rPr>
          <w:rStyle w:val="FootnoteReference"/>
          <w:rFonts w:cs="Arial"/>
          <w:color w:val="auto"/>
        </w:rPr>
        <w:footnoteReference w:id="2"/>
      </w:r>
      <w:r w:rsidRPr="005E7E1A">
        <w:rPr>
          <w:rFonts w:cs="Arial"/>
          <w:color w:val="auto"/>
        </w:rPr>
        <w:t xml:space="preserve"> (after adjusting for housing costs)</w:t>
      </w:r>
      <w:r w:rsidR="00C6390E" w:rsidRPr="005E7E1A">
        <w:rPr>
          <w:rFonts w:cs="Arial"/>
          <w:color w:val="auto"/>
        </w:rPr>
        <w:t>,</w:t>
      </w:r>
      <w:r w:rsidRPr="005E7E1A">
        <w:rPr>
          <w:rFonts w:cs="Arial"/>
          <w:color w:val="auto"/>
        </w:rPr>
        <w:t xml:space="preserve"> 29% of children in Oxford live below the poverty line. According to the Indices of Deprivation, child poverty rates have reduced in the most deprived neighbourhoods, but six Oxford neighbourhoods </w:t>
      </w:r>
      <w:r w:rsidR="00942CD1" w:rsidRPr="005E7E1A">
        <w:rPr>
          <w:rFonts w:cs="Arial"/>
          <w:color w:val="auto"/>
        </w:rPr>
        <w:t xml:space="preserve">still have </w:t>
      </w:r>
      <w:r w:rsidRPr="005E7E1A">
        <w:rPr>
          <w:rFonts w:cs="Arial"/>
          <w:color w:val="auto"/>
        </w:rPr>
        <w:t xml:space="preserve">child poverty rates over 30%. </w:t>
      </w:r>
    </w:p>
    <w:p w14:paraId="3F215509" w14:textId="77777777" w:rsidR="00942CD1" w:rsidRPr="005E7E1A" w:rsidRDefault="4854D786" w:rsidP="00732742">
      <w:pPr>
        <w:pStyle w:val="ListParagraph"/>
        <w:numPr>
          <w:ilvl w:val="0"/>
          <w:numId w:val="4"/>
        </w:numPr>
        <w:jc w:val="both"/>
        <w:rPr>
          <w:rFonts w:cs="Arial"/>
          <w:color w:val="auto"/>
        </w:rPr>
      </w:pPr>
      <w:r w:rsidRPr="005E7E1A">
        <w:rPr>
          <w:rFonts w:cs="Arial"/>
          <w:color w:val="auto"/>
        </w:rPr>
        <w:t>Men in the most deprived areas live 15 years less on average than those who live in the least deprived areas. The Centre for Cities 2020</w:t>
      </w:r>
      <w:r w:rsidR="00F3189F" w:rsidRPr="005E7E1A">
        <w:rPr>
          <w:rStyle w:val="FootnoteReference"/>
          <w:rFonts w:cs="Arial"/>
          <w:color w:val="auto"/>
        </w:rPr>
        <w:footnoteReference w:id="3"/>
      </w:r>
      <w:r w:rsidRPr="005E7E1A">
        <w:rPr>
          <w:rStyle w:val="FootnoteReference"/>
          <w:rFonts w:cs="Arial"/>
          <w:color w:val="auto"/>
        </w:rPr>
        <w:t xml:space="preserve"> </w:t>
      </w:r>
      <w:r w:rsidRPr="005E7E1A">
        <w:rPr>
          <w:rFonts w:cs="Arial"/>
          <w:color w:val="auto"/>
        </w:rPr>
        <w:t xml:space="preserve">data cites Oxford </w:t>
      </w:r>
      <w:r w:rsidR="5E603939" w:rsidRPr="005E7E1A">
        <w:rPr>
          <w:rFonts w:cs="Arial"/>
          <w:color w:val="auto"/>
        </w:rPr>
        <w:t>a</w:t>
      </w:r>
      <w:r w:rsidRPr="005E7E1A">
        <w:rPr>
          <w:rFonts w:cs="Arial"/>
          <w:color w:val="auto"/>
        </w:rPr>
        <w:t xml:space="preserve">s the 2nd most unequal city in the UK, while the Demos-PwC Good Growth for Cities report consistently places Oxford as the </w:t>
      </w:r>
      <w:r w:rsidR="08EB9E59" w:rsidRPr="005E7E1A">
        <w:rPr>
          <w:rFonts w:cs="Arial"/>
          <w:color w:val="auto"/>
        </w:rPr>
        <w:t xml:space="preserve">number </w:t>
      </w:r>
      <w:r w:rsidR="00286F4D" w:rsidRPr="005E7E1A">
        <w:rPr>
          <w:rFonts w:cs="Arial"/>
          <w:color w:val="auto"/>
        </w:rPr>
        <w:t>one</w:t>
      </w:r>
      <w:r w:rsidRPr="005E7E1A">
        <w:rPr>
          <w:rFonts w:cs="Arial"/>
          <w:color w:val="auto"/>
        </w:rPr>
        <w:t xml:space="preserve"> city in the UK.</w:t>
      </w:r>
      <w:r w:rsidR="00F3189F" w:rsidRPr="005E7E1A">
        <w:rPr>
          <w:rStyle w:val="FootnoteReference"/>
          <w:rFonts w:cs="Arial"/>
          <w:color w:val="auto"/>
        </w:rPr>
        <w:footnoteReference w:id="4"/>
      </w:r>
      <w:r w:rsidR="69F8804D" w:rsidRPr="005E7E1A">
        <w:rPr>
          <w:rFonts w:cs="Arial"/>
          <w:color w:val="auto"/>
        </w:rPr>
        <w:t xml:space="preserve"> </w:t>
      </w:r>
    </w:p>
    <w:p w14:paraId="7CC817DA" w14:textId="77777777" w:rsidR="00794FB1" w:rsidRPr="005E7E1A" w:rsidRDefault="00794FB1" w:rsidP="00732742">
      <w:pPr>
        <w:pStyle w:val="ListParagraph"/>
        <w:numPr>
          <w:ilvl w:val="0"/>
          <w:numId w:val="4"/>
        </w:numPr>
        <w:jc w:val="both"/>
      </w:pPr>
      <w:r w:rsidRPr="005E7E1A">
        <w:t xml:space="preserve">The effects of the pandemic have not been felt equally across </w:t>
      </w:r>
      <w:r w:rsidR="00E60D22">
        <w:t xml:space="preserve">the </w:t>
      </w:r>
      <w:r w:rsidRPr="005E7E1A">
        <w:t xml:space="preserve">population. Research has shown that some groups, especially those that already experienced inequality, have suffered the most. The </w:t>
      </w:r>
      <w:hyperlink r:id="rId9" w:history="1">
        <w:r w:rsidRPr="005E7E1A">
          <w:rPr>
            <w:rStyle w:val="Hyperlink"/>
          </w:rPr>
          <w:t>latest government reporting</w:t>
        </w:r>
      </w:hyperlink>
      <w:r w:rsidR="00732742" w:rsidRPr="005E7E1A">
        <w:t xml:space="preserve"> </w:t>
      </w:r>
      <w:r w:rsidRPr="005E7E1A">
        <w:t xml:space="preserve">shows that those from Black and Asian heritage, and those in higher deprivation, suffered significant health inequalities and higher mortality rates. Research from the </w:t>
      </w:r>
      <w:hyperlink r:id="rId10" w:history="1">
        <w:r w:rsidRPr="005E7E1A">
          <w:rPr>
            <w:rStyle w:val="Hyperlink"/>
          </w:rPr>
          <w:t>Institute of Fiscal Studies in 2021</w:t>
        </w:r>
      </w:hyperlink>
      <w:r w:rsidRPr="005E7E1A">
        <w:t xml:space="preserve"> indicated that the pandemic had also caused more income inequality, more inequalities in education and skills, and more intergenerational inequalities.</w:t>
      </w:r>
    </w:p>
    <w:p w14:paraId="23480161" w14:textId="77777777" w:rsidR="00E60D22" w:rsidRPr="00E60D22" w:rsidRDefault="00794FB1" w:rsidP="00C60A7D">
      <w:pPr>
        <w:pStyle w:val="ListParagraph"/>
        <w:numPr>
          <w:ilvl w:val="0"/>
          <w:numId w:val="4"/>
        </w:numPr>
        <w:jc w:val="both"/>
        <w:rPr>
          <w:rFonts w:cs="Arial"/>
          <w:color w:val="auto"/>
        </w:rPr>
      </w:pPr>
      <w:r w:rsidRPr="00E60D22">
        <w:rPr>
          <w:rFonts w:cs="Arial"/>
        </w:rPr>
        <w:t>Michael Marmot</w:t>
      </w:r>
      <w:r w:rsidR="005E7E1A" w:rsidRPr="00E60D22">
        <w:rPr>
          <w:rFonts w:cs="Arial"/>
        </w:rPr>
        <w:t>’</w:t>
      </w:r>
      <w:r w:rsidRPr="00E60D22">
        <w:rPr>
          <w:rFonts w:cs="Arial"/>
        </w:rPr>
        <w:t xml:space="preserve">s report, </w:t>
      </w:r>
      <w:r w:rsidR="005E7E1A" w:rsidRPr="00E60D22">
        <w:rPr>
          <w:rFonts w:cs="Arial"/>
        </w:rPr>
        <w:t>“</w:t>
      </w:r>
      <w:hyperlink r:id="rId11" w:history="1">
        <w:r w:rsidRPr="00E60D22">
          <w:rPr>
            <w:rStyle w:val="Hyperlink"/>
            <w:rFonts w:cs="Arial"/>
          </w:rPr>
          <w:t>Build Back Fairer</w:t>
        </w:r>
      </w:hyperlink>
      <w:r w:rsidRPr="005E0CB4">
        <w:rPr>
          <w:rFonts w:cs="Arial"/>
          <w:color w:val="auto"/>
          <w:shd w:val="clear" w:color="auto" w:fill="FFFFFF"/>
        </w:rPr>
        <w:t>:</w:t>
      </w:r>
      <w:r w:rsidR="00732742" w:rsidRPr="005E0CB4">
        <w:rPr>
          <w:rFonts w:cs="Arial"/>
          <w:color w:val="auto"/>
          <w:shd w:val="clear" w:color="auto" w:fill="FFFFFF"/>
        </w:rPr>
        <w:t xml:space="preserve"> </w:t>
      </w:r>
      <w:r w:rsidRPr="005E0CB4">
        <w:rPr>
          <w:rFonts w:cs="Arial"/>
          <w:color w:val="auto"/>
          <w:shd w:val="clear" w:color="auto" w:fill="FFFFFF"/>
        </w:rPr>
        <w:t>The COVID-19 Review</w:t>
      </w:r>
      <w:r w:rsidR="005E7E1A" w:rsidRPr="005E0CB4">
        <w:rPr>
          <w:rFonts w:cs="Arial"/>
          <w:color w:val="auto"/>
          <w:shd w:val="clear" w:color="auto" w:fill="FFFFFF"/>
        </w:rPr>
        <w:t>”</w:t>
      </w:r>
      <w:r w:rsidRPr="005E0CB4">
        <w:rPr>
          <w:rFonts w:cs="Arial"/>
          <w:color w:val="auto"/>
        </w:rPr>
        <w:t xml:space="preserve"> </w:t>
      </w:r>
      <w:r w:rsidRPr="00E60D22">
        <w:rPr>
          <w:rFonts w:cs="Arial"/>
        </w:rPr>
        <w:t xml:space="preserve">shows the scale of the challenge we face. The report says </w:t>
      </w:r>
      <w:r w:rsidR="005E7E1A" w:rsidRPr="00E60D22">
        <w:rPr>
          <w:rFonts w:cs="Arial"/>
          <w:i/>
        </w:rPr>
        <w:t>“</w:t>
      </w:r>
      <w:r w:rsidRPr="00E60D22">
        <w:rPr>
          <w:rFonts w:cs="Arial"/>
          <w:i/>
        </w:rPr>
        <w:t>there is an urgent need to do things differently, to build a society based on the principles of social justice; to reduce inequalities of income and wealth; to build a wellbeing economy that puts the achievement of health and wellbeing, rather than narrow economic goals</w:t>
      </w:r>
      <w:r w:rsidR="00E60D22" w:rsidRPr="00E60D22">
        <w:rPr>
          <w:rFonts w:cs="Arial"/>
          <w:i/>
        </w:rPr>
        <w:t>.”</w:t>
      </w:r>
    </w:p>
    <w:p w14:paraId="1C69B165" w14:textId="77777777" w:rsidR="00E60D22" w:rsidRPr="00E60D22" w:rsidRDefault="00E60D22" w:rsidP="00E60D22">
      <w:pPr>
        <w:pStyle w:val="ListParagraph"/>
        <w:numPr>
          <w:ilvl w:val="0"/>
          <w:numId w:val="0"/>
        </w:numPr>
        <w:ind w:left="720"/>
        <w:jc w:val="both"/>
        <w:rPr>
          <w:rFonts w:cs="Arial"/>
          <w:color w:val="auto"/>
        </w:rPr>
      </w:pPr>
    </w:p>
    <w:p w14:paraId="1DC72A4A" w14:textId="77777777" w:rsidR="00D37B70" w:rsidRPr="00E60D22" w:rsidRDefault="00794FB1" w:rsidP="00E60D22">
      <w:pPr>
        <w:pStyle w:val="ListParagraph"/>
        <w:numPr>
          <w:ilvl w:val="0"/>
          <w:numId w:val="0"/>
        </w:numPr>
        <w:ind w:left="720"/>
        <w:jc w:val="both"/>
        <w:rPr>
          <w:rFonts w:cs="Arial"/>
          <w:b/>
          <w:color w:val="auto"/>
        </w:rPr>
      </w:pPr>
      <w:r w:rsidRPr="00E60D22">
        <w:rPr>
          <w:rFonts w:cs="Arial"/>
          <w:b/>
          <w:color w:val="auto"/>
        </w:rPr>
        <w:t xml:space="preserve">Our approach </w:t>
      </w:r>
    </w:p>
    <w:p w14:paraId="7CAE0E01" w14:textId="77777777" w:rsidR="00732742" w:rsidRPr="005E7E1A" w:rsidRDefault="003A7884" w:rsidP="00732742">
      <w:pPr>
        <w:pStyle w:val="xmsolistparagraph"/>
        <w:numPr>
          <w:ilvl w:val="0"/>
          <w:numId w:val="4"/>
        </w:numPr>
        <w:jc w:val="both"/>
        <w:rPr>
          <w:rFonts w:ascii="Arial" w:hAnsi="Arial" w:cs="Arial"/>
          <w:color w:val="0B0C0C"/>
          <w:sz w:val="24"/>
          <w:szCs w:val="24"/>
        </w:rPr>
      </w:pPr>
      <w:hyperlink r:id="rId12" w:history="1">
        <w:r w:rsidR="00732742" w:rsidRPr="005E7E1A">
          <w:rPr>
            <w:rStyle w:val="Hyperlink"/>
            <w:rFonts w:ascii="Arial" w:hAnsi="Arial" w:cs="Arial"/>
            <w:sz w:val="24"/>
            <w:szCs w:val="24"/>
          </w:rPr>
          <w:t>The Equality Act 2010</w:t>
        </w:r>
      </w:hyperlink>
      <w:r w:rsidR="00732742" w:rsidRPr="005E7E1A">
        <w:rPr>
          <w:rFonts w:ascii="Arial" w:hAnsi="Arial" w:cs="Arial"/>
          <w:sz w:val="24"/>
          <w:szCs w:val="24"/>
        </w:rPr>
        <w:t xml:space="preserve"> is the legal framework to protect the rights of individuals and advance equality of opportunity for all. This Act</w:t>
      </w:r>
      <w:r w:rsidR="00E60D22">
        <w:rPr>
          <w:rFonts w:ascii="Arial" w:hAnsi="Arial" w:cs="Arial"/>
          <w:sz w:val="24"/>
          <w:szCs w:val="24"/>
        </w:rPr>
        <w:t xml:space="preserve"> is</w:t>
      </w:r>
      <w:r w:rsidR="00732742" w:rsidRPr="005E7E1A">
        <w:rPr>
          <w:rFonts w:ascii="Arial" w:hAnsi="Arial" w:cs="Arial"/>
          <w:sz w:val="24"/>
          <w:szCs w:val="24"/>
        </w:rPr>
        <w:t xml:space="preserve"> the prime legislative basis under which this strategy operates. The Act includes the </w:t>
      </w:r>
      <w:hyperlink r:id="rId13" w:history="1">
        <w:r w:rsidR="00732742" w:rsidRPr="005E7E1A">
          <w:rPr>
            <w:rStyle w:val="Hyperlink"/>
            <w:rFonts w:ascii="Arial" w:hAnsi="Arial" w:cs="Arial"/>
            <w:color w:val="003078"/>
            <w:sz w:val="24"/>
            <w:szCs w:val="24"/>
          </w:rPr>
          <w:t>public sector Equality Duty</w:t>
        </w:r>
      </w:hyperlink>
      <w:r w:rsidR="00732742" w:rsidRPr="005E7E1A">
        <w:rPr>
          <w:rFonts w:ascii="Arial" w:hAnsi="Arial" w:cs="Arial"/>
          <w:sz w:val="24"/>
          <w:szCs w:val="24"/>
        </w:rPr>
        <w:t xml:space="preserve"> </w:t>
      </w:r>
      <w:r w:rsidR="00732742" w:rsidRPr="008B42B6">
        <w:rPr>
          <w:rFonts w:ascii="Arial" w:hAnsi="Arial" w:cs="Arial"/>
          <w:color w:val="0B0C0C"/>
          <w:sz w:val="24"/>
          <w:szCs w:val="24"/>
        </w:rPr>
        <w:t xml:space="preserve">that </w:t>
      </w:r>
      <w:r w:rsidR="00732742" w:rsidRPr="005E7E1A">
        <w:rPr>
          <w:rFonts w:ascii="Arial" w:hAnsi="Arial" w:cs="Arial"/>
          <w:color w:val="0B0C0C"/>
          <w:sz w:val="24"/>
          <w:szCs w:val="24"/>
        </w:rPr>
        <w:t xml:space="preserve">requires </w:t>
      </w:r>
      <w:r w:rsidR="00732742" w:rsidRPr="008B42B6">
        <w:rPr>
          <w:rFonts w:ascii="Arial" w:hAnsi="Arial" w:cs="Arial"/>
          <w:color w:val="0B0C0C"/>
          <w:sz w:val="24"/>
          <w:szCs w:val="24"/>
        </w:rPr>
        <w:t xml:space="preserve">public bodies </w:t>
      </w:r>
      <w:r w:rsidR="00732742" w:rsidRPr="005E7E1A">
        <w:rPr>
          <w:rFonts w:ascii="Arial" w:hAnsi="Arial" w:cs="Arial"/>
          <w:color w:val="0B0C0C"/>
          <w:sz w:val="24"/>
          <w:szCs w:val="24"/>
        </w:rPr>
        <w:t xml:space="preserve">to </w:t>
      </w:r>
      <w:r w:rsidR="00732742" w:rsidRPr="008B42B6">
        <w:rPr>
          <w:rFonts w:ascii="Arial" w:hAnsi="Arial" w:cs="Arial"/>
          <w:color w:val="0B0C0C"/>
          <w:sz w:val="24"/>
          <w:szCs w:val="24"/>
        </w:rPr>
        <w:t>have due regard to</w:t>
      </w:r>
      <w:r w:rsidR="00732742" w:rsidRPr="005E7E1A">
        <w:rPr>
          <w:rFonts w:ascii="Arial" w:hAnsi="Arial" w:cs="Arial"/>
          <w:color w:val="0B0C0C"/>
          <w:sz w:val="24"/>
          <w:szCs w:val="24"/>
        </w:rPr>
        <w:t xml:space="preserve"> the </w:t>
      </w:r>
      <w:r w:rsidR="00732742" w:rsidRPr="008B42B6">
        <w:rPr>
          <w:rFonts w:ascii="Arial" w:hAnsi="Arial" w:cs="Arial"/>
          <w:color w:val="0B0C0C"/>
          <w:sz w:val="24"/>
          <w:szCs w:val="24"/>
        </w:rPr>
        <w:t>need to:</w:t>
      </w:r>
    </w:p>
    <w:p w14:paraId="3C5C3440" w14:textId="77777777" w:rsidR="00732742" w:rsidRPr="005E7E1A" w:rsidRDefault="00732742" w:rsidP="00732742">
      <w:pPr>
        <w:pStyle w:val="ListParagraph"/>
        <w:numPr>
          <w:ilvl w:val="0"/>
          <w:numId w:val="7"/>
        </w:numPr>
        <w:spacing w:before="100" w:beforeAutospacing="1" w:after="100" w:afterAutospacing="1"/>
        <w:ind w:left="709" w:hanging="283"/>
        <w:rPr>
          <w:rFonts w:cs="Arial"/>
          <w:color w:val="auto"/>
        </w:rPr>
      </w:pPr>
      <w:r w:rsidRPr="005E7E1A">
        <w:rPr>
          <w:rFonts w:cs="Arial"/>
          <w:color w:val="auto"/>
        </w:rPr>
        <w:t xml:space="preserve">Eliminate unlawful discrimination, harassment, victimisation and other conduct prohibited by the Act   </w:t>
      </w:r>
    </w:p>
    <w:p w14:paraId="384D46B4" w14:textId="77777777" w:rsidR="00732742" w:rsidRPr="005E7E1A" w:rsidRDefault="00732742" w:rsidP="00732742">
      <w:pPr>
        <w:pStyle w:val="ListParagraph"/>
        <w:numPr>
          <w:ilvl w:val="0"/>
          <w:numId w:val="7"/>
        </w:numPr>
        <w:spacing w:before="100" w:beforeAutospacing="1" w:after="100" w:afterAutospacing="1"/>
        <w:ind w:left="709" w:hanging="283"/>
        <w:rPr>
          <w:rFonts w:cs="Arial"/>
          <w:color w:val="auto"/>
        </w:rPr>
      </w:pPr>
      <w:r w:rsidRPr="005E7E1A">
        <w:rPr>
          <w:rFonts w:cs="Arial"/>
          <w:color w:val="auto"/>
        </w:rPr>
        <w:t xml:space="preserve">Advance equality of opportunity between people who share a protected characteristic and those who do not    </w:t>
      </w:r>
    </w:p>
    <w:p w14:paraId="079E3DDD" w14:textId="77777777" w:rsidR="00732742" w:rsidRPr="005E7E1A" w:rsidRDefault="00732742" w:rsidP="00732742">
      <w:pPr>
        <w:pStyle w:val="ListParagraph"/>
        <w:numPr>
          <w:ilvl w:val="0"/>
          <w:numId w:val="7"/>
        </w:numPr>
        <w:spacing w:before="100" w:beforeAutospacing="1" w:after="100" w:afterAutospacing="1"/>
        <w:ind w:left="709" w:hanging="283"/>
        <w:rPr>
          <w:rFonts w:cs="Arial"/>
          <w:color w:val="auto"/>
        </w:rPr>
      </w:pPr>
      <w:r w:rsidRPr="005E7E1A">
        <w:rPr>
          <w:rFonts w:cs="Arial"/>
          <w:color w:val="auto"/>
        </w:rPr>
        <w:t>Foster good relations between people who share a protected characteristic and those who do not.</w:t>
      </w:r>
    </w:p>
    <w:p w14:paraId="5CB7EBEC" w14:textId="26C06DE8" w:rsidR="00732742" w:rsidRPr="005E7E1A" w:rsidRDefault="00732742" w:rsidP="00732742">
      <w:pPr>
        <w:pStyle w:val="ListParagraph"/>
        <w:numPr>
          <w:ilvl w:val="0"/>
          <w:numId w:val="4"/>
        </w:numPr>
        <w:spacing w:after="300"/>
        <w:jc w:val="both"/>
        <w:rPr>
          <w:rFonts w:cs="Arial"/>
          <w:color w:val="auto"/>
        </w:rPr>
      </w:pPr>
      <w:r w:rsidRPr="005E7E1A">
        <w:rPr>
          <w:rFonts w:cs="Arial"/>
          <w:color w:val="auto"/>
        </w:rPr>
        <w:t>Oxford City Council has taken a robust and transparent approach to meeting the Public Sector Equality Duty and has adopted</w:t>
      </w:r>
      <w:r w:rsidR="00B4518B">
        <w:rPr>
          <w:rFonts w:cs="Arial"/>
          <w:color w:val="auto"/>
        </w:rPr>
        <w:t xml:space="preserve"> </w:t>
      </w:r>
      <w:hyperlink r:id="rId14" w:history="1">
        <w:r w:rsidR="00B4518B" w:rsidRPr="00B4518B">
          <w:rPr>
            <w:rStyle w:val="Hyperlink"/>
            <w:rFonts w:cs="Arial"/>
          </w:rPr>
          <w:t>The Equality Framework for Local Government</w:t>
        </w:r>
      </w:hyperlink>
      <w:r w:rsidRPr="005E7E1A">
        <w:rPr>
          <w:rFonts w:cs="Arial"/>
          <w:color w:val="auto"/>
        </w:rPr>
        <w:t>. The framework encourages a focus on local issues and problems, prompts learning from and spreading good practi</w:t>
      </w:r>
      <w:r w:rsidR="00E60D22">
        <w:rPr>
          <w:rFonts w:cs="Arial"/>
          <w:color w:val="auto"/>
        </w:rPr>
        <w:t>c</w:t>
      </w:r>
      <w:r w:rsidRPr="005E7E1A">
        <w:rPr>
          <w:rFonts w:cs="Arial"/>
          <w:color w:val="auto"/>
        </w:rPr>
        <w:t>e</w:t>
      </w:r>
      <w:r w:rsidR="00E60D22">
        <w:rPr>
          <w:rFonts w:cs="Arial"/>
          <w:color w:val="auto"/>
        </w:rPr>
        <w:t>. All of which</w:t>
      </w:r>
      <w:r w:rsidRPr="005E7E1A">
        <w:rPr>
          <w:rFonts w:cs="Arial"/>
          <w:color w:val="auto"/>
        </w:rPr>
        <w:t xml:space="preserve"> is very much in line with the Council’s approach</w:t>
      </w:r>
      <w:r w:rsidRPr="005E7E1A">
        <w:rPr>
          <w:rFonts w:cs="Arial"/>
          <w:color w:val="464B51"/>
        </w:rPr>
        <w:t xml:space="preserve">. </w:t>
      </w:r>
    </w:p>
    <w:p w14:paraId="16E2B61F" w14:textId="77777777" w:rsidR="00732742" w:rsidRPr="005E7E1A" w:rsidRDefault="00732742" w:rsidP="00732742">
      <w:pPr>
        <w:pStyle w:val="ListParagraph"/>
        <w:numPr>
          <w:ilvl w:val="0"/>
          <w:numId w:val="4"/>
        </w:numPr>
        <w:spacing w:after="300"/>
        <w:jc w:val="both"/>
        <w:rPr>
          <w:rFonts w:cs="Arial"/>
          <w:color w:val="auto"/>
        </w:rPr>
      </w:pPr>
      <w:r w:rsidRPr="005E7E1A">
        <w:rPr>
          <w:rFonts w:cs="Arial"/>
          <w:color w:val="auto"/>
        </w:rPr>
        <w:t>The framework has four improvement modules, these are:</w:t>
      </w:r>
    </w:p>
    <w:p w14:paraId="127180A2" w14:textId="77777777" w:rsidR="00732742" w:rsidRPr="00732742" w:rsidRDefault="00732742" w:rsidP="00732742">
      <w:pPr>
        <w:numPr>
          <w:ilvl w:val="0"/>
          <w:numId w:val="6"/>
        </w:numPr>
        <w:spacing w:before="100" w:beforeAutospacing="1" w:after="100" w:afterAutospacing="1"/>
        <w:ind w:firstLine="66"/>
        <w:rPr>
          <w:rFonts w:cs="Arial"/>
          <w:color w:val="auto"/>
        </w:rPr>
      </w:pPr>
      <w:r w:rsidRPr="00732742">
        <w:rPr>
          <w:rFonts w:cs="Arial"/>
          <w:color w:val="auto"/>
        </w:rPr>
        <w:t>Understanding and Working with Communities</w:t>
      </w:r>
    </w:p>
    <w:p w14:paraId="27607143" w14:textId="77777777" w:rsidR="00732742" w:rsidRPr="00732742" w:rsidRDefault="00732742" w:rsidP="00732742">
      <w:pPr>
        <w:numPr>
          <w:ilvl w:val="0"/>
          <w:numId w:val="6"/>
        </w:numPr>
        <w:spacing w:before="100" w:beforeAutospacing="1" w:after="100" w:afterAutospacing="1"/>
        <w:ind w:firstLine="66"/>
        <w:rPr>
          <w:rFonts w:cs="Arial"/>
          <w:color w:val="auto"/>
        </w:rPr>
      </w:pPr>
      <w:r w:rsidRPr="00732742">
        <w:rPr>
          <w:rFonts w:cs="Arial"/>
          <w:color w:val="auto"/>
        </w:rPr>
        <w:t>Leadership and Organisational Commitment</w:t>
      </w:r>
    </w:p>
    <w:p w14:paraId="39E5E9D6" w14:textId="77777777" w:rsidR="00732742" w:rsidRPr="00732742" w:rsidRDefault="00732742" w:rsidP="00732742">
      <w:pPr>
        <w:numPr>
          <w:ilvl w:val="0"/>
          <w:numId w:val="6"/>
        </w:numPr>
        <w:spacing w:before="100" w:beforeAutospacing="1" w:after="100" w:afterAutospacing="1"/>
        <w:ind w:firstLine="66"/>
        <w:rPr>
          <w:rFonts w:cs="Arial"/>
          <w:color w:val="auto"/>
        </w:rPr>
      </w:pPr>
      <w:r w:rsidRPr="00732742">
        <w:rPr>
          <w:rFonts w:cs="Arial"/>
          <w:color w:val="auto"/>
        </w:rPr>
        <w:t>Responsive Services and Customer Care</w:t>
      </w:r>
    </w:p>
    <w:p w14:paraId="4448900F" w14:textId="77777777" w:rsidR="00732742" w:rsidRPr="00732742" w:rsidRDefault="00732742" w:rsidP="00732742">
      <w:pPr>
        <w:numPr>
          <w:ilvl w:val="0"/>
          <w:numId w:val="6"/>
        </w:numPr>
        <w:spacing w:before="100" w:beforeAutospacing="1" w:after="100" w:afterAutospacing="1"/>
        <w:ind w:firstLine="66"/>
        <w:rPr>
          <w:rFonts w:cs="Arial"/>
          <w:color w:val="auto"/>
        </w:rPr>
      </w:pPr>
      <w:r w:rsidRPr="00732742">
        <w:rPr>
          <w:rFonts w:cs="Arial"/>
          <w:color w:val="auto"/>
        </w:rPr>
        <w:t>Diverse and Engaged Workforc</w:t>
      </w:r>
      <w:r w:rsidRPr="005E7E1A">
        <w:rPr>
          <w:rFonts w:cs="Arial"/>
          <w:color w:val="auto"/>
        </w:rPr>
        <w:t>e</w:t>
      </w:r>
    </w:p>
    <w:p w14:paraId="2ECB56B5" w14:textId="77777777" w:rsidR="00732742" w:rsidRDefault="00732742" w:rsidP="005E7E1A">
      <w:pPr>
        <w:pStyle w:val="ListParagraph"/>
        <w:numPr>
          <w:ilvl w:val="0"/>
          <w:numId w:val="4"/>
        </w:numPr>
        <w:jc w:val="both"/>
        <w:rPr>
          <w:rStyle w:val="Firstpagetablebold"/>
          <w:rFonts w:cs="Arial"/>
          <w:b w:val="0"/>
          <w:color w:val="auto"/>
        </w:rPr>
      </w:pPr>
      <w:r w:rsidRPr="005E7E1A">
        <w:t>The Council already incorporates these cross-cutting themes into our work, and is committed to further action to put these at the heart of all we do. The</w:t>
      </w:r>
      <w:r w:rsidRPr="005E7E1A">
        <w:rPr>
          <w:b/>
        </w:rPr>
        <w:t xml:space="preserve"> </w:t>
      </w:r>
      <w:r w:rsidRPr="005E7E1A">
        <w:rPr>
          <w:rStyle w:val="Firstpagetablebold"/>
          <w:rFonts w:cs="Arial"/>
          <w:b w:val="0"/>
          <w:color w:val="auto"/>
        </w:rPr>
        <w:t xml:space="preserve">Equality, Diversity and Inclusion Strategy provides the Council’s </w:t>
      </w:r>
      <w:r w:rsidR="00E60D22" w:rsidRPr="005E7E1A">
        <w:rPr>
          <w:rStyle w:val="Firstpagetablebold"/>
          <w:rFonts w:cs="Arial"/>
          <w:b w:val="0"/>
          <w:color w:val="auto"/>
        </w:rPr>
        <w:t xml:space="preserve">priorities and actions </w:t>
      </w:r>
      <w:r w:rsidR="00E60D22">
        <w:rPr>
          <w:rStyle w:val="Firstpagetablebold"/>
          <w:rFonts w:cs="Arial"/>
          <w:b w:val="0"/>
          <w:color w:val="auto"/>
        </w:rPr>
        <w:t xml:space="preserve">for </w:t>
      </w:r>
      <w:r w:rsidRPr="005E7E1A">
        <w:rPr>
          <w:rStyle w:val="Firstpagetablebold"/>
          <w:rFonts w:cs="Arial"/>
          <w:b w:val="0"/>
          <w:color w:val="auto"/>
        </w:rPr>
        <w:t xml:space="preserve">each of the four </w:t>
      </w:r>
      <w:r w:rsidR="00E60D22">
        <w:rPr>
          <w:rStyle w:val="Firstpagetablebold"/>
          <w:rFonts w:cs="Arial"/>
          <w:b w:val="0"/>
          <w:color w:val="auto"/>
        </w:rPr>
        <w:t>areas of the framework</w:t>
      </w:r>
      <w:r w:rsidRPr="005E7E1A">
        <w:rPr>
          <w:rStyle w:val="Firstpagetablebold"/>
          <w:rFonts w:cs="Arial"/>
          <w:b w:val="0"/>
          <w:color w:val="auto"/>
        </w:rPr>
        <w:t>.</w:t>
      </w:r>
    </w:p>
    <w:p w14:paraId="49CA2DA1" w14:textId="77777777" w:rsidR="00DA018E" w:rsidRPr="00DA018E" w:rsidRDefault="00DA018E" w:rsidP="00DA018E">
      <w:pPr>
        <w:pStyle w:val="ListParagraph"/>
        <w:numPr>
          <w:ilvl w:val="0"/>
          <w:numId w:val="4"/>
        </w:numPr>
        <w:jc w:val="both"/>
        <w:rPr>
          <w:rStyle w:val="Firstpagetablebold"/>
          <w:rFonts w:cs="Arial"/>
          <w:b w:val="0"/>
          <w:color w:val="auto"/>
        </w:rPr>
      </w:pPr>
      <w:r>
        <w:t xml:space="preserve">The Diverse and Engaged Workforce strand incorporates the Workforce Equalities Report that </w:t>
      </w:r>
      <w:r w:rsidR="0006773D">
        <w:t>Cabinet agreed</w:t>
      </w:r>
      <w:r>
        <w:t xml:space="preserve"> in December 2021.</w:t>
      </w:r>
    </w:p>
    <w:p w14:paraId="6C454517" w14:textId="77777777" w:rsidR="005E7E1A" w:rsidRPr="005E7E1A" w:rsidRDefault="005E7E1A" w:rsidP="00732742">
      <w:pPr>
        <w:jc w:val="both"/>
        <w:rPr>
          <w:rStyle w:val="Firstpagetablebold"/>
          <w:rFonts w:cs="Arial"/>
          <w:b w:val="0"/>
          <w:color w:val="auto"/>
        </w:rPr>
      </w:pPr>
    </w:p>
    <w:p w14:paraId="387867C3" w14:textId="77777777" w:rsidR="00732742" w:rsidRPr="005E7E1A" w:rsidRDefault="00732742" w:rsidP="00732742">
      <w:pPr>
        <w:jc w:val="both"/>
        <w:rPr>
          <w:rStyle w:val="Firstpagetablebold"/>
          <w:rFonts w:cs="Arial"/>
          <w:color w:val="auto"/>
        </w:rPr>
      </w:pPr>
      <w:r w:rsidRPr="005E7E1A">
        <w:rPr>
          <w:rStyle w:val="Firstpagetablebold"/>
          <w:rFonts w:cs="Arial"/>
          <w:color w:val="auto"/>
        </w:rPr>
        <w:t>Consul</w:t>
      </w:r>
      <w:r w:rsidR="005E7E1A">
        <w:rPr>
          <w:rStyle w:val="Firstpagetablebold"/>
          <w:rFonts w:cs="Arial"/>
          <w:color w:val="auto"/>
        </w:rPr>
        <w:t>t</w:t>
      </w:r>
      <w:r w:rsidRPr="005E7E1A">
        <w:rPr>
          <w:rStyle w:val="Firstpagetablebold"/>
          <w:rFonts w:cs="Arial"/>
          <w:color w:val="auto"/>
        </w:rPr>
        <w:t xml:space="preserve">ation </w:t>
      </w:r>
    </w:p>
    <w:p w14:paraId="7E316699" w14:textId="77777777" w:rsidR="00732742" w:rsidRPr="005E7E1A" w:rsidRDefault="00732742" w:rsidP="00E60D22">
      <w:pPr>
        <w:pStyle w:val="ListParagraph"/>
        <w:numPr>
          <w:ilvl w:val="0"/>
          <w:numId w:val="4"/>
        </w:numPr>
        <w:jc w:val="both"/>
        <w:rPr>
          <w:rStyle w:val="Firstpagetablebold"/>
          <w:rFonts w:cs="Arial"/>
          <w:b w:val="0"/>
          <w:color w:val="auto"/>
        </w:rPr>
      </w:pPr>
      <w:r w:rsidRPr="005E7E1A">
        <w:rPr>
          <w:rStyle w:val="Firstpagetablebold"/>
          <w:rFonts w:cs="Arial"/>
          <w:b w:val="0"/>
          <w:color w:val="auto"/>
        </w:rPr>
        <w:t>Much of the Council</w:t>
      </w:r>
      <w:r w:rsidR="005E7E1A">
        <w:rPr>
          <w:rStyle w:val="Firstpagetablebold"/>
          <w:rFonts w:cs="Arial"/>
          <w:b w:val="0"/>
          <w:color w:val="auto"/>
        </w:rPr>
        <w:t>’</w:t>
      </w:r>
      <w:r w:rsidRPr="005E7E1A">
        <w:rPr>
          <w:rStyle w:val="Firstpagetablebold"/>
          <w:rFonts w:cs="Arial"/>
          <w:b w:val="0"/>
          <w:color w:val="auto"/>
        </w:rPr>
        <w:t>s work involves increasing our unders</w:t>
      </w:r>
      <w:r w:rsidR="005E7E1A">
        <w:rPr>
          <w:rStyle w:val="Firstpagetablebold"/>
          <w:rFonts w:cs="Arial"/>
          <w:b w:val="0"/>
          <w:color w:val="auto"/>
        </w:rPr>
        <w:t>tan</w:t>
      </w:r>
      <w:r w:rsidRPr="005E7E1A">
        <w:rPr>
          <w:rStyle w:val="Firstpagetablebold"/>
          <w:rFonts w:cs="Arial"/>
          <w:b w:val="0"/>
          <w:color w:val="auto"/>
        </w:rPr>
        <w:t>ding of communities and inequalities. In the lead up to drafting this strategy</w:t>
      </w:r>
      <w:r w:rsidR="005E7E1A">
        <w:rPr>
          <w:rStyle w:val="Firstpagetablebold"/>
          <w:rFonts w:cs="Arial"/>
          <w:b w:val="0"/>
          <w:color w:val="auto"/>
        </w:rPr>
        <w:t>,</w:t>
      </w:r>
      <w:r w:rsidRPr="005E7E1A">
        <w:rPr>
          <w:rStyle w:val="Firstpagetablebold"/>
          <w:rFonts w:cs="Arial"/>
          <w:b w:val="0"/>
          <w:color w:val="auto"/>
        </w:rPr>
        <w:t xml:space="preserve"> we held 14 focus groups with around 100 people </w:t>
      </w:r>
      <w:r w:rsidR="005E7E1A">
        <w:rPr>
          <w:rStyle w:val="Firstpagetablebold"/>
          <w:rFonts w:cs="Arial"/>
          <w:b w:val="0"/>
          <w:color w:val="auto"/>
        </w:rPr>
        <w:t xml:space="preserve">with a range of </w:t>
      </w:r>
      <w:r w:rsidRPr="005E7E1A">
        <w:rPr>
          <w:rStyle w:val="Firstpagetablebold"/>
          <w:rFonts w:cs="Arial"/>
          <w:b w:val="0"/>
          <w:color w:val="auto"/>
        </w:rPr>
        <w:t>protected characterist</w:t>
      </w:r>
      <w:r w:rsidR="005E7E1A">
        <w:rPr>
          <w:rStyle w:val="Firstpagetablebold"/>
          <w:rFonts w:cs="Arial"/>
          <w:b w:val="0"/>
          <w:color w:val="auto"/>
        </w:rPr>
        <w:t>i</w:t>
      </w:r>
      <w:r w:rsidRPr="005E7E1A">
        <w:rPr>
          <w:rStyle w:val="Firstpagetablebold"/>
          <w:rFonts w:cs="Arial"/>
          <w:b w:val="0"/>
          <w:color w:val="auto"/>
        </w:rPr>
        <w:t>c</w:t>
      </w:r>
      <w:r w:rsidR="005E7E1A">
        <w:rPr>
          <w:rStyle w:val="Firstpagetablebold"/>
          <w:rFonts w:cs="Arial"/>
          <w:b w:val="0"/>
          <w:color w:val="auto"/>
        </w:rPr>
        <w:t xml:space="preserve">s. </w:t>
      </w:r>
    </w:p>
    <w:p w14:paraId="4839F5B7" w14:textId="77777777" w:rsidR="00732742" w:rsidRDefault="00732742" w:rsidP="00E60D22">
      <w:pPr>
        <w:pStyle w:val="ListParagraph"/>
        <w:numPr>
          <w:ilvl w:val="0"/>
          <w:numId w:val="4"/>
        </w:numPr>
        <w:contextualSpacing/>
        <w:jc w:val="both"/>
      </w:pPr>
      <w:r w:rsidRPr="005E7E1A">
        <w:rPr>
          <w:rStyle w:val="Firstpagetablebold"/>
          <w:rFonts w:cs="Arial"/>
          <w:b w:val="0"/>
          <w:color w:val="auto"/>
        </w:rPr>
        <w:t xml:space="preserve">The Council has also just finished </w:t>
      </w:r>
      <w:r w:rsidR="005E7E1A" w:rsidRPr="005E7E1A">
        <w:rPr>
          <w:rStyle w:val="Firstpagetablebold"/>
          <w:rFonts w:cs="Arial"/>
          <w:b w:val="0"/>
          <w:color w:val="auto"/>
        </w:rPr>
        <w:t xml:space="preserve">an </w:t>
      </w:r>
      <w:r w:rsidRPr="005E7E1A">
        <w:rPr>
          <w:rStyle w:val="Firstpagetablebold"/>
          <w:rFonts w:cs="Arial"/>
          <w:b w:val="0"/>
          <w:color w:val="auto"/>
        </w:rPr>
        <w:t>in</w:t>
      </w:r>
      <w:r w:rsidR="005E7E1A" w:rsidRPr="005E7E1A">
        <w:rPr>
          <w:rStyle w:val="Firstpagetablebold"/>
          <w:rFonts w:cs="Arial"/>
          <w:b w:val="0"/>
          <w:color w:val="auto"/>
        </w:rPr>
        <w:t>-dep</w:t>
      </w:r>
      <w:r w:rsidRPr="005E7E1A">
        <w:rPr>
          <w:rStyle w:val="Firstpagetablebold"/>
          <w:rFonts w:cs="Arial"/>
          <w:b w:val="0"/>
          <w:color w:val="auto"/>
        </w:rPr>
        <w:t>th consul</w:t>
      </w:r>
      <w:r w:rsidR="00E60D22">
        <w:rPr>
          <w:rStyle w:val="Firstpagetablebold"/>
          <w:rFonts w:cs="Arial"/>
          <w:b w:val="0"/>
          <w:color w:val="auto"/>
        </w:rPr>
        <w:t>t</w:t>
      </w:r>
      <w:r w:rsidRPr="005E7E1A">
        <w:rPr>
          <w:rStyle w:val="Firstpagetablebold"/>
          <w:rFonts w:cs="Arial"/>
          <w:b w:val="0"/>
          <w:color w:val="auto"/>
        </w:rPr>
        <w:t>at</w:t>
      </w:r>
      <w:r w:rsidR="005E7E1A" w:rsidRPr="005E7E1A">
        <w:rPr>
          <w:rStyle w:val="Firstpagetablebold"/>
          <w:rFonts w:cs="Arial"/>
          <w:b w:val="0"/>
          <w:color w:val="auto"/>
        </w:rPr>
        <w:t xml:space="preserve">ion to inform </w:t>
      </w:r>
      <w:r w:rsidRPr="005E7E1A">
        <w:rPr>
          <w:rStyle w:val="Firstpagetablebold"/>
          <w:rFonts w:cs="Arial"/>
          <w:b w:val="0"/>
          <w:color w:val="auto"/>
        </w:rPr>
        <w:t>its gran</w:t>
      </w:r>
      <w:r w:rsidR="005E7E1A" w:rsidRPr="005E7E1A">
        <w:rPr>
          <w:rStyle w:val="Firstpagetablebold"/>
          <w:rFonts w:cs="Arial"/>
          <w:b w:val="0"/>
          <w:color w:val="auto"/>
        </w:rPr>
        <w:t xml:space="preserve">ts </w:t>
      </w:r>
      <w:r w:rsidRPr="005E7E1A">
        <w:rPr>
          <w:rStyle w:val="Firstpagetablebold"/>
          <w:rFonts w:cs="Arial"/>
          <w:b w:val="0"/>
          <w:color w:val="auto"/>
        </w:rPr>
        <w:t>review</w:t>
      </w:r>
      <w:r w:rsidR="005E7E1A" w:rsidRPr="005E7E1A">
        <w:rPr>
          <w:rStyle w:val="Firstpagetablebold"/>
          <w:rFonts w:cs="Arial"/>
          <w:b w:val="0"/>
          <w:color w:val="auto"/>
        </w:rPr>
        <w:t xml:space="preserve"> </w:t>
      </w:r>
      <w:r w:rsidRPr="005E7E1A">
        <w:rPr>
          <w:rStyle w:val="Firstpagetablebold"/>
          <w:rFonts w:cs="Arial"/>
          <w:b w:val="0"/>
          <w:color w:val="auto"/>
        </w:rPr>
        <w:t>- this incl</w:t>
      </w:r>
      <w:r w:rsidR="005E7E1A" w:rsidRPr="005E7E1A">
        <w:rPr>
          <w:rStyle w:val="Firstpagetablebold"/>
          <w:rFonts w:cs="Arial"/>
          <w:b w:val="0"/>
          <w:color w:val="auto"/>
        </w:rPr>
        <w:t xml:space="preserve">uded </w:t>
      </w:r>
      <w:r w:rsidR="005E7E1A">
        <w:rPr>
          <w:rStyle w:val="Firstpagetablebold"/>
          <w:rFonts w:cs="Arial"/>
          <w:b w:val="0"/>
          <w:color w:val="auto"/>
        </w:rPr>
        <w:t>ten</w:t>
      </w:r>
      <w:r w:rsidR="005E7E1A" w:rsidRPr="005E7E1A">
        <w:rPr>
          <w:rStyle w:val="Firstpagetablebold"/>
          <w:rFonts w:cs="Arial"/>
          <w:b w:val="0"/>
          <w:color w:val="auto"/>
        </w:rPr>
        <w:t xml:space="preserve"> focus </w:t>
      </w:r>
      <w:r w:rsidRPr="005E7E1A">
        <w:t xml:space="preserve">group discussions attended by people with lived experience of different protected characteristics, homelessness and </w:t>
      </w:r>
      <w:proofErr w:type="spellStart"/>
      <w:r w:rsidRPr="005E7E1A">
        <w:t>intersectionality</w:t>
      </w:r>
      <w:proofErr w:type="spellEnd"/>
      <w:r w:rsidRPr="005E7E1A">
        <w:t xml:space="preserve">. </w:t>
      </w:r>
    </w:p>
    <w:p w14:paraId="3DF3E14A" w14:textId="77777777" w:rsidR="00732742" w:rsidRDefault="005E7E1A" w:rsidP="003A014E">
      <w:pPr>
        <w:pStyle w:val="ListParagraph"/>
        <w:numPr>
          <w:ilvl w:val="0"/>
          <w:numId w:val="4"/>
        </w:numPr>
        <w:spacing w:before="240"/>
        <w:rPr>
          <w:rStyle w:val="Firstpagetablebold"/>
          <w:rFonts w:cs="Arial"/>
          <w:b w:val="0"/>
          <w:color w:val="auto"/>
        </w:rPr>
      </w:pPr>
      <w:r>
        <w:rPr>
          <w:rStyle w:val="Firstpagetablebold"/>
          <w:rFonts w:cs="Arial"/>
          <w:b w:val="0"/>
          <w:color w:val="auto"/>
        </w:rPr>
        <w:t xml:space="preserve">Alongside this, </w:t>
      </w:r>
      <w:r w:rsidR="00732742" w:rsidRPr="005E7E1A">
        <w:rPr>
          <w:rStyle w:val="Firstpagetablebold"/>
          <w:rFonts w:cs="Arial"/>
          <w:b w:val="0"/>
          <w:color w:val="auto"/>
        </w:rPr>
        <w:t xml:space="preserve">three focus groups </w:t>
      </w:r>
      <w:r>
        <w:rPr>
          <w:rStyle w:val="Firstpagetablebold"/>
          <w:rFonts w:cs="Arial"/>
          <w:b w:val="0"/>
          <w:color w:val="auto"/>
        </w:rPr>
        <w:t xml:space="preserve">were undertaken in </w:t>
      </w:r>
      <w:r w:rsidR="00B93CC9">
        <w:rPr>
          <w:rStyle w:val="Firstpagetablebold"/>
          <w:rFonts w:cs="Arial"/>
          <w:b w:val="0"/>
          <w:color w:val="auto"/>
        </w:rPr>
        <w:t xml:space="preserve">November </w:t>
      </w:r>
      <w:r>
        <w:rPr>
          <w:rStyle w:val="Firstpagetablebold"/>
          <w:rFonts w:cs="Arial"/>
          <w:b w:val="0"/>
          <w:color w:val="auto"/>
        </w:rPr>
        <w:t xml:space="preserve">2021 </w:t>
      </w:r>
      <w:r w:rsidR="00732742" w:rsidRPr="005E7E1A">
        <w:rPr>
          <w:rStyle w:val="Firstpagetablebold"/>
          <w:rFonts w:cs="Arial"/>
          <w:b w:val="0"/>
          <w:color w:val="auto"/>
        </w:rPr>
        <w:t xml:space="preserve">to review </w:t>
      </w:r>
      <w:r>
        <w:rPr>
          <w:rStyle w:val="Firstpagetablebold"/>
          <w:rFonts w:cs="Arial"/>
          <w:b w:val="0"/>
          <w:color w:val="auto"/>
        </w:rPr>
        <w:t xml:space="preserve">the </w:t>
      </w:r>
      <w:r w:rsidR="00E60D22">
        <w:rPr>
          <w:rStyle w:val="Firstpagetablebold"/>
          <w:rFonts w:cs="Arial"/>
          <w:b w:val="0"/>
          <w:color w:val="auto"/>
        </w:rPr>
        <w:t xml:space="preserve">Council’s </w:t>
      </w:r>
      <w:r w:rsidR="00732742" w:rsidRPr="005E7E1A">
        <w:rPr>
          <w:rStyle w:val="Firstpagetablebold"/>
          <w:rFonts w:cs="Arial"/>
          <w:b w:val="0"/>
          <w:color w:val="auto"/>
        </w:rPr>
        <w:t>anti</w:t>
      </w:r>
      <w:r w:rsidR="00E60D22">
        <w:rPr>
          <w:rStyle w:val="Firstpagetablebold"/>
          <w:rFonts w:cs="Arial"/>
          <w:b w:val="0"/>
          <w:color w:val="auto"/>
        </w:rPr>
        <w:t>-</w:t>
      </w:r>
      <w:r w:rsidR="00732742" w:rsidRPr="005E7E1A">
        <w:rPr>
          <w:rStyle w:val="Firstpagetablebold"/>
          <w:rFonts w:cs="Arial"/>
          <w:b w:val="0"/>
          <w:color w:val="auto"/>
        </w:rPr>
        <w:t>racism charter</w:t>
      </w:r>
      <w:r>
        <w:rPr>
          <w:rStyle w:val="Firstpagetablebold"/>
          <w:rFonts w:cs="Arial"/>
          <w:b w:val="0"/>
          <w:color w:val="auto"/>
        </w:rPr>
        <w:t>.</w:t>
      </w:r>
      <w:r w:rsidR="00732742" w:rsidRPr="005E7E1A">
        <w:rPr>
          <w:rStyle w:val="Firstpagetablebold"/>
          <w:rFonts w:cs="Arial"/>
          <w:b w:val="0"/>
          <w:color w:val="auto"/>
        </w:rPr>
        <w:t xml:space="preserve"> </w:t>
      </w:r>
    </w:p>
    <w:p w14:paraId="5016A208" w14:textId="77777777" w:rsidR="00E60D22" w:rsidRDefault="00E60D22" w:rsidP="00387DC6">
      <w:pPr>
        <w:pStyle w:val="ListParagraph"/>
        <w:numPr>
          <w:ilvl w:val="0"/>
          <w:numId w:val="4"/>
        </w:numPr>
        <w:rPr>
          <w:rStyle w:val="Firstpagetablebold"/>
          <w:rFonts w:cs="Arial"/>
          <w:b w:val="0"/>
          <w:color w:val="auto"/>
        </w:rPr>
      </w:pPr>
      <w:r w:rsidRPr="00E60D22">
        <w:rPr>
          <w:rStyle w:val="Firstpagetablebold"/>
          <w:rFonts w:cs="Arial"/>
          <w:b w:val="0"/>
          <w:color w:val="auto"/>
        </w:rPr>
        <w:t>Over the pandemic period, the Council had established locality support teams. This work has helped create a greater understanding and deeper level of trust with people and communities</w:t>
      </w:r>
      <w:r>
        <w:rPr>
          <w:rStyle w:val="Firstpagetablebold"/>
          <w:rFonts w:cs="Arial"/>
          <w:b w:val="0"/>
          <w:color w:val="auto"/>
        </w:rPr>
        <w:t xml:space="preserve">. </w:t>
      </w:r>
    </w:p>
    <w:p w14:paraId="0F52F80F" w14:textId="77777777" w:rsidR="00732742" w:rsidRPr="00E60D22" w:rsidRDefault="00E60D22" w:rsidP="00387DC6">
      <w:pPr>
        <w:pStyle w:val="ListParagraph"/>
        <w:numPr>
          <w:ilvl w:val="0"/>
          <w:numId w:val="4"/>
        </w:numPr>
        <w:rPr>
          <w:rStyle w:val="Firstpagetablebold"/>
          <w:rFonts w:cs="Arial"/>
          <w:b w:val="0"/>
          <w:color w:val="auto"/>
        </w:rPr>
      </w:pPr>
      <w:r>
        <w:rPr>
          <w:rStyle w:val="Firstpagetablebold"/>
          <w:rFonts w:cs="Arial"/>
          <w:b w:val="0"/>
          <w:color w:val="auto"/>
        </w:rPr>
        <w:t>T</w:t>
      </w:r>
      <w:r w:rsidRPr="00E60D22">
        <w:rPr>
          <w:rStyle w:val="Firstpagetablebold"/>
          <w:rFonts w:cs="Arial"/>
          <w:b w:val="0"/>
          <w:color w:val="auto"/>
        </w:rPr>
        <w:t xml:space="preserve">hese </w:t>
      </w:r>
      <w:r>
        <w:rPr>
          <w:rStyle w:val="Firstpagetablebold"/>
          <w:rFonts w:cs="Arial"/>
          <w:b w:val="0"/>
          <w:color w:val="auto"/>
        </w:rPr>
        <w:t xml:space="preserve">community </w:t>
      </w:r>
      <w:r w:rsidRPr="00E60D22">
        <w:rPr>
          <w:rStyle w:val="Firstpagetablebold"/>
          <w:rFonts w:cs="Arial"/>
          <w:b w:val="0"/>
          <w:color w:val="auto"/>
        </w:rPr>
        <w:t>connections,</w:t>
      </w:r>
      <w:r w:rsidR="00732742" w:rsidRPr="00E60D22">
        <w:rPr>
          <w:rStyle w:val="Firstpagetablebold"/>
          <w:rFonts w:cs="Arial"/>
          <w:b w:val="0"/>
          <w:color w:val="auto"/>
        </w:rPr>
        <w:t xml:space="preserve"> focus groups and our daily conversation</w:t>
      </w:r>
      <w:r w:rsidR="005E7E1A" w:rsidRPr="00E60D22">
        <w:rPr>
          <w:rStyle w:val="Firstpagetablebold"/>
          <w:rFonts w:cs="Arial"/>
          <w:b w:val="0"/>
          <w:color w:val="auto"/>
        </w:rPr>
        <w:t>s</w:t>
      </w:r>
      <w:r w:rsidR="00732742" w:rsidRPr="00E60D22">
        <w:rPr>
          <w:rStyle w:val="Firstpagetablebold"/>
          <w:rFonts w:cs="Arial"/>
          <w:b w:val="0"/>
          <w:color w:val="auto"/>
        </w:rPr>
        <w:t xml:space="preserve"> with citizens </w:t>
      </w:r>
      <w:r w:rsidRPr="00E60D22">
        <w:rPr>
          <w:rStyle w:val="Firstpagetablebold"/>
          <w:rFonts w:cs="Arial"/>
          <w:b w:val="0"/>
          <w:color w:val="auto"/>
        </w:rPr>
        <w:t xml:space="preserve">have </w:t>
      </w:r>
      <w:r w:rsidR="00732742" w:rsidRPr="00E60D22">
        <w:rPr>
          <w:rStyle w:val="Firstpagetablebold"/>
          <w:rFonts w:cs="Arial"/>
          <w:b w:val="0"/>
          <w:color w:val="auto"/>
        </w:rPr>
        <w:t>provide</w:t>
      </w:r>
      <w:r w:rsidRPr="00E60D22">
        <w:rPr>
          <w:rStyle w:val="Firstpagetablebold"/>
          <w:rFonts w:cs="Arial"/>
          <w:b w:val="0"/>
          <w:color w:val="auto"/>
        </w:rPr>
        <w:t>d</w:t>
      </w:r>
      <w:r w:rsidR="00732742" w:rsidRPr="00E60D22">
        <w:rPr>
          <w:rStyle w:val="Firstpagetablebold"/>
          <w:rFonts w:cs="Arial"/>
          <w:b w:val="0"/>
          <w:color w:val="auto"/>
        </w:rPr>
        <w:t xml:space="preserve"> valuable in</w:t>
      </w:r>
      <w:r w:rsidR="005E7E1A" w:rsidRPr="00E60D22">
        <w:rPr>
          <w:rStyle w:val="Firstpagetablebold"/>
          <w:rFonts w:cs="Arial"/>
          <w:b w:val="0"/>
          <w:color w:val="auto"/>
        </w:rPr>
        <w:t xml:space="preserve">sights for </w:t>
      </w:r>
      <w:r w:rsidR="0006773D">
        <w:rPr>
          <w:rStyle w:val="Firstpagetablebold"/>
          <w:rFonts w:cs="Arial"/>
          <w:b w:val="0"/>
          <w:color w:val="auto"/>
        </w:rPr>
        <w:t>developing</w:t>
      </w:r>
      <w:r w:rsidR="00732742" w:rsidRPr="00E60D22">
        <w:rPr>
          <w:rStyle w:val="Firstpagetablebold"/>
          <w:rFonts w:cs="Arial"/>
          <w:b w:val="0"/>
          <w:color w:val="auto"/>
        </w:rPr>
        <w:t xml:space="preserve"> the strategy.</w:t>
      </w:r>
    </w:p>
    <w:p w14:paraId="7D03012E" w14:textId="77777777" w:rsidR="005E7E1A" w:rsidRDefault="005E7E1A" w:rsidP="00732742">
      <w:pPr>
        <w:pStyle w:val="xmsolistparagraph"/>
        <w:ind w:left="0"/>
        <w:jc w:val="both"/>
        <w:rPr>
          <w:rFonts w:ascii="Arial" w:hAnsi="Arial" w:cs="Arial"/>
          <w:b/>
          <w:bCs/>
          <w:sz w:val="24"/>
          <w:szCs w:val="24"/>
        </w:rPr>
      </w:pPr>
    </w:p>
    <w:p w14:paraId="77514894" w14:textId="77777777" w:rsidR="005E7E1A" w:rsidRPr="005E7E1A" w:rsidRDefault="005E7E1A" w:rsidP="005E7E1A">
      <w:pPr>
        <w:jc w:val="both"/>
        <w:rPr>
          <w:rStyle w:val="Firstpagetablebold"/>
          <w:rFonts w:cs="Arial"/>
          <w:b w:val="0"/>
          <w:color w:val="auto"/>
        </w:rPr>
      </w:pPr>
      <w:r w:rsidRPr="005E7E1A">
        <w:rPr>
          <w:rStyle w:val="Firstpagetablebold"/>
          <w:rFonts w:cs="Arial"/>
          <w:color w:val="auto"/>
        </w:rPr>
        <w:t>Governance</w:t>
      </w:r>
      <w:r w:rsidRPr="005E7E1A">
        <w:rPr>
          <w:rStyle w:val="Firstpagetablebold"/>
          <w:rFonts w:cs="Arial"/>
          <w:b w:val="0"/>
          <w:color w:val="auto"/>
        </w:rPr>
        <w:t xml:space="preserve"> </w:t>
      </w:r>
    </w:p>
    <w:p w14:paraId="045A542C" w14:textId="77777777" w:rsidR="005E7E1A" w:rsidRDefault="005E7E1A" w:rsidP="005B0E07">
      <w:pPr>
        <w:pStyle w:val="ListParagraph"/>
        <w:numPr>
          <w:ilvl w:val="0"/>
          <w:numId w:val="4"/>
        </w:numPr>
        <w:jc w:val="both"/>
      </w:pPr>
      <w:r w:rsidRPr="005E7E1A">
        <w:t xml:space="preserve">The City Council has </w:t>
      </w:r>
      <w:r w:rsidR="00E60D22">
        <w:t>an equalities s</w:t>
      </w:r>
      <w:r w:rsidRPr="005E7E1A">
        <w:t>teering group chaired by the Executive Director for Communities and People. This is an advisory group with insight into lived experience and council service delivery that will inform our policy</w:t>
      </w:r>
      <w:r w:rsidR="0006773D">
        <w:t>-</w:t>
      </w:r>
      <w:r w:rsidRPr="005E7E1A">
        <w:t>making and service delivery a</w:t>
      </w:r>
      <w:r w:rsidR="0006773D">
        <w:t>nd</w:t>
      </w:r>
      <w:r w:rsidRPr="005E7E1A">
        <w:t xml:space="preserve"> help strengthen our own approach to equalities within the workplace.</w:t>
      </w:r>
    </w:p>
    <w:p w14:paraId="185BDFF2" w14:textId="77777777" w:rsidR="005E7E1A" w:rsidRDefault="003C2DF6" w:rsidP="003A014E">
      <w:pPr>
        <w:pStyle w:val="xmsolistparagraph"/>
        <w:numPr>
          <w:ilvl w:val="0"/>
          <w:numId w:val="4"/>
        </w:numPr>
        <w:spacing w:after="240"/>
        <w:jc w:val="both"/>
      </w:pPr>
      <w:r w:rsidRPr="003C2DF6">
        <w:rPr>
          <w:rFonts w:ascii="Arial" w:hAnsi="Arial" w:cs="Arial"/>
          <w:sz w:val="24"/>
          <w:szCs w:val="24"/>
        </w:rPr>
        <w:t>To strengthen oversight, accountability, and challenge at the senior level, the Equalities Steering group will present quarterly to the Corporate Management Team (CMT) of service directors and the Leaders Group of Cabinet Members</w:t>
      </w:r>
      <w:r>
        <w:t>.</w:t>
      </w:r>
    </w:p>
    <w:p w14:paraId="19A18E79" w14:textId="77777777" w:rsidR="00B904BB" w:rsidRDefault="00B904BB" w:rsidP="003C2DF6">
      <w:pPr>
        <w:pStyle w:val="xmsolistparagraph"/>
        <w:numPr>
          <w:ilvl w:val="0"/>
          <w:numId w:val="4"/>
        </w:numPr>
        <w:jc w:val="both"/>
      </w:pPr>
      <w:r w:rsidRPr="0017760E">
        <w:rPr>
          <w:rFonts w:ascii="Arial" w:hAnsi="Arial" w:cs="Arial"/>
          <w:sz w:val="24"/>
        </w:rPr>
        <w:t>In addition, the Scrutiny Officer is working on a set of proposals to improve member oversight and challenge relating to equalities issues via the Scrutiny function</w:t>
      </w:r>
      <w:r>
        <w:t>.</w:t>
      </w:r>
      <w:r w:rsidR="00DC552F">
        <w:t xml:space="preserve"> </w:t>
      </w:r>
    </w:p>
    <w:p w14:paraId="65E36583" w14:textId="77777777" w:rsidR="003C2DF6" w:rsidRDefault="003C2DF6" w:rsidP="00732742">
      <w:pPr>
        <w:pStyle w:val="xmsolistparagraph"/>
        <w:ind w:left="0"/>
        <w:jc w:val="both"/>
        <w:rPr>
          <w:rFonts w:ascii="Arial" w:hAnsi="Arial" w:cs="Arial"/>
          <w:b/>
          <w:bCs/>
          <w:sz w:val="24"/>
          <w:szCs w:val="24"/>
        </w:rPr>
      </w:pPr>
    </w:p>
    <w:p w14:paraId="5FBA3D36" w14:textId="77777777" w:rsidR="00BB1563" w:rsidRPr="005E7E1A" w:rsidRDefault="00BB1563" w:rsidP="00732742">
      <w:pPr>
        <w:pStyle w:val="xmsolistparagraph"/>
        <w:ind w:left="0"/>
        <w:jc w:val="both"/>
        <w:rPr>
          <w:rFonts w:ascii="Arial" w:hAnsi="Arial" w:cs="Arial"/>
          <w:b/>
          <w:bCs/>
          <w:sz w:val="24"/>
          <w:szCs w:val="24"/>
        </w:rPr>
      </w:pPr>
      <w:r w:rsidRPr="005E7E1A">
        <w:rPr>
          <w:rFonts w:ascii="Arial" w:hAnsi="Arial" w:cs="Arial"/>
          <w:b/>
          <w:bCs/>
          <w:sz w:val="24"/>
          <w:szCs w:val="24"/>
        </w:rPr>
        <w:t>Financial Implication</w:t>
      </w:r>
      <w:r w:rsidR="55948DEF" w:rsidRPr="005E7E1A">
        <w:rPr>
          <w:rFonts w:ascii="Arial" w:hAnsi="Arial" w:cs="Arial"/>
          <w:b/>
          <w:bCs/>
          <w:sz w:val="24"/>
          <w:szCs w:val="24"/>
        </w:rPr>
        <w:t>s</w:t>
      </w:r>
    </w:p>
    <w:p w14:paraId="06CB2CAB" w14:textId="77777777" w:rsidR="00732742" w:rsidRPr="005E7E1A" w:rsidRDefault="00732742" w:rsidP="00732742">
      <w:pPr>
        <w:pStyle w:val="xmsolistparagraph"/>
        <w:ind w:left="0"/>
        <w:jc w:val="both"/>
        <w:rPr>
          <w:rFonts w:ascii="Arial" w:hAnsi="Arial" w:cs="Arial"/>
          <w:b/>
          <w:sz w:val="24"/>
          <w:szCs w:val="24"/>
        </w:rPr>
      </w:pPr>
    </w:p>
    <w:p w14:paraId="3B7D4CC0" w14:textId="77777777" w:rsidR="00732742" w:rsidRPr="005E7E1A" w:rsidRDefault="00732742" w:rsidP="005E7E1A">
      <w:pPr>
        <w:pStyle w:val="xmsolistparagraph"/>
        <w:numPr>
          <w:ilvl w:val="0"/>
          <w:numId w:val="4"/>
        </w:numPr>
        <w:jc w:val="both"/>
        <w:rPr>
          <w:rFonts w:ascii="Arial" w:hAnsi="Arial" w:cs="Arial"/>
          <w:sz w:val="24"/>
          <w:szCs w:val="24"/>
        </w:rPr>
      </w:pPr>
      <w:r w:rsidRPr="005E7E1A">
        <w:rPr>
          <w:rFonts w:ascii="Arial" w:hAnsi="Arial" w:cs="Arial"/>
          <w:sz w:val="24"/>
          <w:szCs w:val="24"/>
        </w:rPr>
        <w:t>The</w:t>
      </w:r>
      <w:r w:rsidR="005E7E1A">
        <w:rPr>
          <w:rFonts w:ascii="Arial" w:hAnsi="Arial" w:cs="Arial"/>
          <w:sz w:val="24"/>
          <w:szCs w:val="24"/>
        </w:rPr>
        <w:t xml:space="preserve">re are no direct financial implications. Our approach is to </w:t>
      </w:r>
      <w:r w:rsidRPr="005E7E1A">
        <w:rPr>
          <w:rFonts w:ascii="Arial" w:hAnsi="Arial" w:cs="Arial"/>
          <w:sz w:val="24"/>
          <w:szCs w:val="24"/>
        </w:rPr>
        <w:t>embed equality</w:t>
      </w:r>
      <w:r w:rsidR="005E7E1A">
        <w:rPr>
          <w:rFonts w:ascii="Arial" w:hAnsi="Arial" w:cs="Arial"/>
          <w:sz w:val="24"/>
          <w:szCs w:val="24"/>
        </w:rPr>
        <w:t>,</w:t>
      </w:r>
      <w:r w:rsidRPr="005E7E1A">
        <w:rPr>
          <w:rFonts w:ascii="Arial" w:hAnsi="Arial" w:cs="Arial"/>
          <w:sz w:val="24"/>
          <w:szCs w:val="24"/>
        </w:rPr>
        <w:t xml:space="preserve"> di</w:t>
      </w:r>
      <w:r w:rsidR="005E7E1A">
        <w:rPr>
          <w:rFonts w:ascii="Arial" w:hAnsi="Arial" w:cs="Arial"/>
          <w:sz w:val="24"/>
          <w:szCs w:val="24"/>
        </w:rPr>
        <w:t>versi</w:t>
      </w:r>
      <w:r w:rsidRPr="005E7E1A">
        <w:rPr>
          <w:rFonts w:ascii="Arial" w:hAnsi="Arial" w:cs="Arial"/>
          <w:sz w:val="24"/>
          <w:szCs w:val="24"/>
        </w:rPr>
        <w:t>ty and inc</w:t>
      </w:r>
      <w:r w:rsidR="005E7E1A">
        <w:rPr>
          <w:rFonts w:ascii="Arial" w:hAnsi="Arial" w:cs="Arial"/>
          <w:sz w:val="24"/>
          <w:szCs w:val="24"/>
        </w:rPr>
        <w:t>lus</w:t>
      </w:r>
      <w:r w:rsidRPr="005E7E1A">
        <w:rPr>
          <w:rFonts w:ascii="Arial" w:hAnsi="Arial" w:cs="Arial"/>
          <w:sz w:val="24"/>
          <w:szCs w:val="24"/>
        </w:rPr>
        <w:t>ion in</w:t>
      </w:r>
      <w:r w:rsidR="00E60D22">
        <w:rPr>
          <w:rFonts w:ascii="Arial" w:hAnsi="Arial" w:cs="Arial"/>
          <w:sz w:val="24"/>
          <w:szCs w:val="24"/>
        </w:rPr>
        <w:t>to</w:t>
      </w:r>
      <w:r w:rsidRPr="005E7E1A">
        <w:rPr>
          <w:rFonts w:ascii="Arial" w:hAnsi="Arial" w:cs="Arial"/>
          <w:sz w:val="24"/>
          <w:szCs w:val="24"/>
        </w:rPr>
        <w:t xml:space="preserve"> everything we do.</w:t>
      </w:r>
    </w:p>
    <w:p w14:paraId="50F6372B" w14:textId="77777777" w:rsidR="00732742" w:rsidRPr="005E7E1A" w:rsidRDefault="00732742" w:rsidP="00732742">
      <w:pPr>
        <w:pStyle w:val="xmsolistparagraph"/>
        <w:ind w:left="0"/>
        <w:jc w:val="both"/>
        <w:rPr>
          <w:rFonts w:ascii="Arial" w:hAnsi="Arial" w:cs="Arial"/>
          <w:b/>
          <w:sz w:val="24"/>
          <w:szCs w:val="24"/>
        </w:rPr>
      </w:pPr>
    </w:p>
    <w:p w14:paraId="10AF4929" w14:textId="77777777" w:rsidR="00BB1563" w:rsidRPr="005E7E1A" w:rsidRDefault="00BB1563" w:rsidP="00732742">
      <w:pPr>
        <w:pStyle w:val="xmsolistparagraph"/>
        <w:ind w:left="0"/>
        <w:jc w:val="both"/>
        <w:rPr>
          <w:rFonts w:ascii="Arial" w:hAnsi="Arial" w:cs="Arial"/>
          <w:b/>
          <w:sz w:val="24"/>
          <w:szCs w:val="24"/>
        </w:rPr>
      </w:pPr>
      <w:r w:rsidRPr="005E7E1A">
        <w:rPr>
          <w:rFonts w:ascii="Arial" w:hAnsi="Arial" w:cs="Arial"/>
          <w:b/>
          <w:sz w:val="24"/>
          <w:szCs w:val="24"/>
        </w:rPr>
        <w:t>Legal Implications</w:t>
      </w:r>
    </w:p>
    <w:p w14:paraId="2F9669E2" w14:textId="77777777" w:rsidR="008B42B6" w:rsidRPr="005E7E1A" w:rsidRDefault="008B42B6" w:rsidP="00732742">
      <w:pPr>
        <w:pStyle w:val="xmsolistparagraph"/>
        <w:ind w:hanging="360"/>
        <w:jc w:val="both"/>
        <w:rPr>
          <w:rFonts w:ascii="Arial" w:hAnsi="Arial" w:cs="Arial"/>
          <w:b/>
          <w:sz w:val="24"/>
          <w:szCs w:val="24"/>
        </w:rPr>
      </w:pPr>
    </w:p>
    <w:p w14:paraId="3868E196" w14:textId="77777777" w:rsidR="008417BC" w:rsidRDefault="003A7884" w:rsidP="00BB0EFA">
      <w:pPr>
        <w:pStyle w:val="ListParagraph"/>
        <w:numPr>
          <w:ilvl w:val="0"/>
          <w:numId w:val="4"/>
        </w:numPr>
        <w:rPr>
          <w:rFonts w:eastAsiaTheme="minorHAnsi" w:cs="Arial"/>
          <w:lang w:eastAsia="en-US"/>
        </w:rPr>
      </w:pPr>
      <w:hyperlink r:id="rId15" w:history="1">
        <w:r w:rsidR="008B42B6" w:rsidRPr="008417BC">
          <w:rPr>
            <w:rStyle w:val="Hyperlink"/>
            <w:rFonts w:cs="Arial"/>
          </w:rPr>
          <w:t>The Equality Act 2010</w:t>
        </w:r>
      </w:hyperlink>
      <w:r w:rsidR="005E7E1A" w:rsidRPr="00BB0EFA">
        <w:rPr>
          <w:rFonts w:cs="Arial"/>
        </w:rPr>
        <w:t xml:space="preserve"> incl</w:t>
      </w:r>
      <w:r w:rsidR="00E60D22" w:rsidRPr="00BB0EFA">
        <w:rPr>
          <w:rFonts w:cs="Arial"/>
        </w:rPr>
        <w:t>ud</w:t>
      </w:r>
      <w:r w:rsidR="005E7E1A" w:rsidRPr="00BB0EFA">
        <w:rPr>
          <w:rFonts w:cs="Arial"/>
        </w:rPr>
        <w:t xml:space="preserve">es a </w:t>
      </w:r>
      <w:hyperlink r:id="rId16" w:history="1">
        <w:r w:rsidR="008417BC" w:rsidRPr="008417BC">
          <w:rPr>
            <w:rStyle w:val="Hyperlink"/>
            <w:rFonts w:cs="Arial"/>
            <w:color w:val="003078"/>
          </w:rPr>
          <w:t>Public S</w:t>
        </w:r>
        <w:r w:rsidR="008B42B6" w:rsidRPr="008417BC">
          <w:rPr>
            <w:rStyle w:val="Hyperlink"/>
            <w:rFonts w:cs="Arial"/>
            <w:color w:val="003078"/>
          </w:rPr>
          <w:t>ector Equality Duty</w:t>
        </w:r>
      </w:hyperlink>
      <w:r w:rsidR="005E7E1A" w:rsidRPr="00BB0EFA">
        <w:rPr>
          <w:rFonts w:cs="Arial"/>
        </w:rPr>
        <w:t xml:space="preserve"> to </w:t>
      </w:r>
      <w:r w:rsidR="008B42B6" w:rsidRPr="00BB0EFA">
        <w:rPr>
          <w:rFonts w:cs="Arial"/>
          <w:color w:val="0B0C0C"/>
        </w:rPr>
        <w:t>eliminate discrimination</w:t>
      </w:r>
      <w:r w:rsidR="005E7E1A" w:rsidRPr="00BB0EFA">
        <w:rPr>
          <w:rFonts w:cs="Arial"/>
          <w:color w:val="0B0C0C"/>
        </w:rPr>
        <w:t xml:space="preserve">, </w:t>
      </w:r>
      <w:r w:rsidR="008B42B6" w:rsidRPr="00BB0EFA">
        <w:rPr>
          <w:rFonts w:cs="Arial"/>
          <w:color w:val="0B0C0C"/>
        </w:rPr>
        <w:t>advance equality of opportunity</w:t>
      </w:r>
      <w:r w:rsidR="005E7E1A" w:rsidRPr="00BB0EFA">
        <w:rPr>
          <w:rFonts w:cs="Arial"/>
          <w:color w:val="0B0C0C"/>
        </w:rPr>
        <w:t xml:space="preserve"> and </w:t>
      </w:r>
      <w:r w:rsidR="008B42B6" w:rsidRPr="00BB0EFA">
        <w:rPr>
          <w:rFonts w:cs="Arial"/>
          <w:color w:val="0B0C0C"/>
        </w:rPr>
        <w:t>foster good relations between different people when carrying out their activities</w:t>
      </w:r>
      <w:r w:rsidR="005E7E1A" w:rsidRPr="00BB0EFA">
        <w:rPr>
          <w:rFonts w:cs="Arial"/>
          <w:color w:val="0B0C0C"/>
        </w:rPr>
        <w:t>.</w:t>
      </w:r>
      <w:r w:rsidR="008417BC" w:rsidRPr="00BB0EFA">
        <w:rPr>
          <w:rFonts w:cs="Arial"/>
          <w:color w:val="0B0C0C"/>
        </w:rPr>
        <w:t xml:space="preserve"> </w:t>
      </w:r>
      <w:r w:rsidR="008417BC" w:rsidRPr="00BB0EFA">
        <w:rPr>
          <w:rFonts w:eastAsiaTheme="minorHAnsi" w:cs="Arial"/>
          <w:lang w:eastAsia="en-US"/>
        </w:rPr>
        <w:t>Compliance with the general equality duty is a legal obligation.</w:t>
      </w:r>
    </w:p>
    <w:p w14:paraId="2AA31335" w14:textId="77777777" w:rsidR="008417BC" w:rsidRPr="008417BC" w:rsidRDefault="008417BC" w:rsidP="00BB0EFA">
      <w:pPr>
        <w:pStyle w:val="ListParagraph"/>
        <w:widowControl w:val="0"/>
        <w:numPr>
          <w:ilvl w:val="0"/>
          <w:numId w:val="4"/>
        </w:numPr>
        <w:autoSpaceDE w:val="0"/>
        <w:autoSpaceDN w:val="0"/>
        <w:adjustRightInd w:val="0"/>
        <w:spacing w:after="0"/>
        <w:jc w:val="both"/>
        <w:rPr>
          <w:rFonts w:eastAsiaTheme="minorEastAsia" w:cs="Arial"/>
        </w:rPr>
      </w:pPr>
      <w:r>
        <w:rPr>
          <w:rFonts w:eastAsiaTheme="minorEastAsia" w:cs="Arial"/>
        </w:rPr>
        <w:t xml:space="preserve">A </w:t>
      </w:r>
      <w:r w:rsidRPr="008417BC">
        <w:rPr>
          <w:rFonts w:eastAsiaTheme="minorEastAsia" w:cs="Arial"/>
        </w:rPr>
        <w:t>public authority has to demonstrate th</w:t>
      </w:r>
      <w:r w:rsidR="0006773D">
        <w:rPr>
          <w:rFonts w:eastAsiaTheme="minorEastAsia" w:cs="Arial"/>
        </w:rPr>
        <w:t xml:space="preserve">at it had regard to the impact </w:t>
      </w:r>
      <w:r w:rsidR="00BB0EFA">
        <w:rPr>
          <w:rFonts w:eastAsiaTheme="minorEastAsia" w:cs="Arial"/>
        </w:rPr>
        <w:t xml:space="preserve">of </w:t>
      </w:r>
      <w:r w:rsidRPr="008417BC">
        <w:rPr>
          <w:rFonts w:eastAsiaTheme="minorEastAsia" w:cs="Arial"/>
        </w:rPr>
        <w:t xml:space="preserve">its proposed policy on equality. </w:t>
      </w:r>
    </w:p>
    <w:p w14:paraId="4D249851" w14:textId="77777777" w:rsidR="008B42B6" w:rsidRPr="005E7E1A" w:rsidRDefault="008B42B6" w:rsidP="00732742">
      <w:pPr>
        <w:pStyle w:val="xmsolistparagraph"/>
        <w:ind w:hanging="360"/>
        <w:jc w:val="both"/>
        <w:rPr>
          <w:rFonts w:ascii="Arial" w:hAnsi="Arial" w:cs="Arial"/>
          <w:b/>
          <w:sz w:val="24"/>
          <w:szCs w:val="24"/>
        </w:rPr>
      </w:pPr>
    </w:p>
    <w:p w14:paraId="2869CF55" w14:textId="77777777" w:rsidR="00BB1563" w:rsidRPr="005E7E1A" w:rsidRDefault="00BB1563" w:rsidP="00732742">
      <w:pPr>
        <w:pStyle w:val="xmsolistparagraph"/>
        <w:ind w:left="0"/>
        <w:jc w:val="both"/>
        <w:rPr>
          <w:rFonts w:ascii="Arial" w:hAnsi="Arial" w:cs="Arial"/>
          <w:b/>
          <w:sz w:val="24"/>
          <w:szCs w:val="24"/>
        </w:rPr>
      </w:pPr>
      <w:r w:rsidRPr="005E7E1A">
        <w:rPr>
          <w:rFonts w:ascii="Arial" w:hAnsi="Arial" w:cs="Arial"/>
          <w:b/>
          <w:sz w:val="24"/>
          <w:szCs w:val="24"/>
        </w:rPr>
        <w:t xml:space="preserve">Level of Risk </w:t>
      </w:r>
    </w:p>
    <w:p w14:paraId="7E43B050" w14:textId="77777777" w:rsidR="00A86564" w:rsidRPr="005E7E1A" w:rsidRDefault="00A86564" w:rsidP="00732742">
      <w:pPr>
        <w:pStyle w:val="xmsolistparagraph"/>
        <w:ind w:hanging="360"/>
        <w:jc w:val="both"/>
        <w:rPr>
          <w:rFonts w:ascii="Arial" w:hAnsi="Arial" w:cs="Arial"/>
          <w:b/>
          <w:sz w:val="24"/>
          <w:szCs w:val="24"/>
        </w:rPr>
      </w:pPr>
    </w:p>
    <w:p w14:paraId="05CFF55C" w14:textId="587BD045" w:rsidR="00BB1563" w:rsidRPr="005E7E1A" w:rsidRDefault="00BB1563" w:rsidP="005E7E1A">
      <w:pPr>
        <w:pStyle w:val="ListParagraph"/>
        <w:numPr>
          <w:ilvl w:val="0"/>
          <w:numId w:val="4"/>
        </w:numPr>
        <w:jc w:val="both"/>
        <w:rPr>
          <w:rFonts w:cs="Arial"/>
        </w:rPr>
      </w:pPr>
      <w:r w:rsidRPr="005E7E1A">
        <w:rPr>
          <w:rFonts w:cs="Arial"/>
        </w:rPr>
        <w:t>A full review of risk has been unde</w:t>
      </w:r>
      <w:r w:rsidR="00B76F35" w:rsidRPr="005E7E1A">
        <w:rPr>
          <w:rFonts w:cs="Arial"/>
        </w:rPr>
        <w:t>rtaken</w:t>
      </w:r>
      <w:r w:rsidR="00286F4D" w:rsidRPr="005E7E1A">
        <w:rPr>
          <w:rFonts w:cs="Arial"/>
        </w:rPr>
        <w:t>,</w:t>
      </w:r>
      <w:r w:rsidR="00C45864" w:rsidRPr="005E7E1A">
        <w:rPr>
          <w:rFonts w:cs="Arial"/>
        </w:rPr>
        <w:t xml:space="preserve"> which is reflect</w:t>
      </w:r>
      <w:r w:rsidR="00C85922" w:rsidRPr="005E7E1A">
        <w:rPr>
          <w:rFonts w:cs="Arial"/>
        </w:rPr>
        <w:t>ed</w:t>
      </w:r>
      <w:r w:rsidR="00C45864" w:rsidRPr="005E7E1A">
        <w:rPr>
          <w:rFonts w:cs="Arial"/>
        </w:rPr>
        <w:t xml:space="preserve"> in </w:t>
      </w:r>
      <w:r w:rsidR="001B590E" w:rsidRPr="005E7E1A">
        <w:rPr>
          <w:rFonts w:cs="Arial"/>
        </w:rPr>
        <w:t>A</w:t>
      </w:r>
      <w:r w:rsidR="00286F4D" w:rsidRPr="005E7E1A">
        <w:rPr>
          <w:rFonts w:cs="Arial"/>
        </w:rPr>
        <w:t xml:space="preserve">ppendix </w:t>
      </w:r>
      <w:r w:rsidR="0090427D">
        <w:rPr>
          <w:rFonts w:cs="Arial"/>
        </w:rPr>
        <w:t>T</w:t>
      </w:r>
      <w:r w:rsidR="00C45864" w:rsidRPr="005E7E1A">
        <w:rPr>
          <w:rFonts w:cs="Arial"/>
        </w:rPr>
        <w:t>wo.</w:t>
      </w:r>
    </w:p>
    <w:p w14:paraId="16048D7C" w14:textId="77777777" w:rsidR="001B590E" w:rsidRPr="005E7E1A" w:rsidRDefault="001B590E" w:rsidP="00732742">
      <w:pPr>
        <w:pStyle w:val="xmsolistparagraph"/>
        <w:ind w:hanging="360"/>
        <w:jc w:val="both"/>
        <w:rPr>
          <w:rFonts w:ascii="Arial" w:hAnsi="Arial" w:cs="Arial"/>
          <w:b/>
          <w:sz w:val="24"/>
          <w:szCs w:val="24"/>
        </w:rPr>
      </w:pPr>
    </w:p>
    <w:p w14:paraId="47B49754" w14:textId="77777777" w:rsidR="00BB1563" w:rsidRPr="005E7E1A" w:rsidRDefault="00BB1563" w:rsidP="00732742">
      <w:pPr>
        <w:pStyle w:val="xmsolistparagraph"/>
        <w:ind w:left="0"/>
        <w:jc w:val="both"/>
        <w:rPr>
          <w:rFonts w:ascii="Arial" w:hAnsi="Arial" w:cs="Arial"/>
          <w:b/>
          <w:sz w:val="24"/>
          <w:szCs w:val="24"/>
        </w:rPr>
      </w:pPr>
      <w:r w:rsidRPr="005E7E1A">
        <w:rPr>
          <w:rFonts w:ascii="Arial" w:hAnsi="Arial" w:cs="Arial"/>
          <w:b/>
          <w:sz w:val="24"/>
          <w:szCs w:val="24"/>
        </w:rPr>
        <w:t xml:space="preserve">Equalities Impact </w:t>
      </w:r>
    </w:p>
    <w:p w14:paraId="761E3DB7" w14:textId="77777777" w:rsidR="00BB1563" w:rsidRPr="005E7E1A" w:rsidRDefault="00BB1563" w:rsidP="00732742">
      <w:pPr>
        <w:pStyle w:val="xmsolistparagraph"/>
        <w:ind w:hanging="360"/>
        <w:jc w:val="both"/>
        <w:rPr>
          <w:rFonts w:ascii="Arial" w:hAnsi="Arial" w:cs="Arial"/>
          <w:sz w:val="24"/>
          <w:szCs w:val="24"/>
        </w:rPr>
      </w:pPr>
    </w:p>
    <w:p w14:paraId="01328B46" w14:textId="79C6BBCF" w:rsidR="00BB1563" w:rsidRDefault="00BB1563" w:rsidP="005E7E1A">
      <w:pPr>
        <w:pStyle w:val="ListParagraph"/>
        <w:numPr>
          <w:ilvl w:val="0"/>
          <w:numId w:val="4"/>
        </w:numPr>
        <w:jc w:val="both"/>
        <w:rPr>
          <w:rFonts w:cs="Arial"/>
          <w:color w:val="auto"/>
        </w:rPr>
      </w:pPr>
      <w:r w:rsidRPr="005E7E1A">
        <w:rPr>
          <w:rFonts w:cs="Arial"/>
          <w:color w:val="auto"/>
        </w:rPr>
        <w:t>Equalities considerations have been continually</w:t>
      </w:r>
      <w:r w:rsidR="00E60D22" w:rsidRPr="00E60D22">
        <w:rPr>
          <w:rFonts w:cs="Arial"/>
          <w:color w:val="auto"/>
        </w:rPr>
        <w:t xml:space="preserve"> </w:t>
      </w:r>
      <w:r w:rsidR="00E60D22" w:rsidRPr="005E7E1A">
        <w:rPr>
          <w:rFonts w:cs="Arial"/>
          <w:color w:val="auto"/>
        </w:rPr>
        <w:t>undertaken</w:t>
      </w:r>
      <w:r w:rsidR="00E60D22">
        <w:rPr>
          <w:rFonts w:cs="Arial"/>
          <w:color w:val="auto"/>
        </w:rPr>
        <w:t>, t</w:t>
      </w:r>
      <w:r w:rsidR="00A315B2" w:rsidRPr="005E7E1A">
        <w:rPr>
          <w:rFonts w:cs="Arial"/>
          <w:color w:val="auto"/>
        </w:rPr>
        <w:t>he E</w:t>
      </w:r>
      <w:r w:rsidRPr="005E7E1A">
        <w:rPr>
          <w:rFonts w:cs="Arial"/>
          <w:color w:val="auto"/>
        </w:rPr>
        <w:t>qualitie</w:t>
      </w:r>
      <w:r w:rsidR="00286F4D" w:rsidRPr="005E7E1A">
        <w:rPr>
          <w:rFonts w:cs="Arial"/>
          <w:color w:val="auto"/>
        </w:rPr>
        <w:t xml:space="preserve">s </w:t>
      </w:r>
      <w:r w:rsidR="00A315B2" w:rsidRPr="005E7E1A">
        <w:rPr>
          <w:rFonts w:cs="Arial"/>
          <w:color w:val="auto"/>
        </w:rPr>
        <w:t>I</w:t>
      </w:r>
      <w:r w:rsidR="00286F4D" w:rsidRPr="005E7E1A">
        <w:rPr>
          <w:rFonts w:cs="Arial"/>
          <w:color w:val="auto"/>
        </w:rPr>
        <w:t>mpact</w:t>
      </w:r>
      <w:r w:rsidR="00732742" w:rsidRPr="005E7E1A">
        <w:rPr>
          <w:rFonts w:cs="Arial"/>
          <w:color w:val="auto"/>
        </w:rPr>
        <w:t xml:space="preserve"> </w:t>
      </w:r>
      <w:r w:rsidR="00A315B2" w:rsidRPr="005E7E1A">
        <w:rPr>
          <w:rFonts w:cs="Arial"/>
          <w:color w:val="auto"/>
        </w:rPr>
        <w:t>A</w:t>
      </w:r>
      <w:r w:rsidR="00286F4D" w:rsidRPr="005E7E1A">
        <w:rPr>
          <w:rFonts w:cs="Arial"/>
          <w:color w:val="auto"/>
        </w:rPr>
        <w:t>ssessment is included as</w:t>
      </w:r>
      <w:r w:rsidRPr="005E7E1A">
        <w:rPr>
          <w:rFonts w:cs="Arial"/>
          <w:color w:val="auto"/>
        </w:rPr>
        <w:t xml:space="preserve"> </w:t>
      </w:r>
      <w:r w:rsidR="001B590E" w:rsidRPr="005E7E1A">
        <w:rPr>
          <w:rFonts w:cs="Arial"/>
          <w:color w:val="auto"/>
        </w:rPr>
        <w:t>A</w:t>
      </w:r>
      <w:r w:rsidR="00286F4D" w:rsidRPr="005E7E1A">
        <w:rPr>
          <w:rFonts w:cs="Arial"/>
          <w:color w:val="auto"/>
        </w:rPr>
        <w:t xml:space="preserve">ppendix </w:t>
      </w:r>
      <w:r w:rsidR="0090427D">
        <w:rPr>
          <w:rFonts w:cs="Arial"/>
          <w:color w:val="auto"/>
        </w:rPr>
        <w:t>T</w:t>
      </w:r>
      <w:r w:rsidRPr="005E7E1A">
        <w:rPr>
          <w:rFonts w:cs="Arial"/>
          <w:color w:val="auto"/>
        </w:rPr>
        <w:t>hree.</w:t>
      </w:r>
    </w:p>
    <w:p w14:paraId="08445576" w14:textId="77777777" w:rsidR="00783D80" w:rsidRDefault="00783D80" w:rsidP="0017760E">
      <w:pPr>
        <w:pStyle w:val="ListParagraph"/>
        <w:numPr>
          <w:ilvl w:val="0"/>
          <w:numId w:val="0"/>
        </w:numPr>
        <w:ind w:left="720"/>
        <w:jc w:val="both"/>
        <w:rPr>
          <w:rFonts w:cs="Arial"/>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37B70" w:rsidRPr="005E0CB4" w14:paraId="386DCCF0" w14:textId="77777777" w:rsidTr="00D92A63">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9E85F56" w14:textId="77777777" w:rsidR="00D37B70" w:rsidRPr="005E0CB4" w:rsidRDefault="00D37B70" w:rsidP="00732742">
            <w:pPr>
              <w:jc w:val="both"/>
              <w:rPr>
                <w:rFonts w:cs="Arial"/>
                <w:b/>
                <w:color w:val="auto"/>
              </w:rPr>
            </w:pPr>
            <w:r w:rsidRPr="005E0CB4">
              <w:rPr>
                <w:rFonts w:cs="Arial"/>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AC2A62D" w14:textId="77777777" w:rsidR="00D37B70" w:rsidRPr="005E0CB4" w:rsidRDefault="00D37B70" w:rsidP="00732742">
            <w:pPr>
              <w:jc w:val="both"/>
              <w:rPr>
                <w:rFonts w:cs="Arial"/>
                <w:color w:val="auto"/>
              </w:rPr>
            </w:pPr>
            <w:r w:rsidRPr="005E0CB4">
              <w:rPr>
                <w:rFonts w:cs="Arial"/>
                <w:color w:val="auto"/>
              </w:rPr>
              <w:t>Ian Brooke</w:t>
            </w:r>
          </w:p>
        </w:tc>
      </w:tr>
      <w:tr w:rsidR="00D37B70" w:rsidRPr="005E0CB4" w14:paraId="6E42A634" w14:textId="77777777" w:rsidTr="00D92A63">
        <w:trPr>
          <w:cantSplit/>
          <w:trHeight w:val="396"/>
        </w:trPr>
        <w:tc>
          <w:tcPr>
            <w:tcW w:w="3969" w:type="dxa"/>
            <w:tcBorders>
              <w:top w:val="single" w:sz="8" w:space="0" w:color="000000"/>
              <w:left w:val="single" w:sz="8" w:space="0" w:color="000000"/>
              <w:bottom w:val="nil"/>
              <w:right w:val="nil"/>
            </w:tcBorders>
            <w:shd w:val="clear" w:color="auto" w:fill="auto"/>
          </w:tcPr>
          <w:p w14:paraId="675BDCB1" w14:textId="77777777" w:rsidR="00D37B70" w:rsidRPr="005E0CB4" w:rsidRDefault="00D37B70" w:rsidP="00732742">
            <w:pPr>
              <w:jc w:val="both"/>
              <w:rPr>
                <w:rFonts w:cs="Arial"/>
                <w:color w:val="auto"/>
              </w:rPr>
            </w:pPr>
            <w:r w:rsidRPr="005E0CB4">
              <w:rPr>
                <w:rFonts w:cs="Arial"/>
                <w:color w:val="auto"/>
              </w:rPr>
              <w:t>Job title</w:t>
            </w:r>
          </w:p>
        </w:tc>
        <w:tc>
          <w:tcPr>
            <w:tcW w:w="4962" w:type="dxa"/>
            <w:tcBorders>
              <w:top w:val="single" w:sz="8" w:space="0" w:color="000000"/>
              <w:left w:val="nil"/>
              <w:bottom w:val="nil"/>
              <w:right w:val="single" w:sz="8" w:space="0" w:color="000000"/>
            </w:tcBorders>
            <w:shd w:val="clear" w:color="auto" w:fill="auto"/>
          </w:tcPr>
          <w:p w14:paraId="4A2E5368" w14:textId="77777777" w:rsidR="00D37B70" w:rsidRPr="005E0CB4" w:rsidRDefault="00D37B70" w:rsidP="00732742">
            <w:pPr>
              <w:jc w:val="both"/>
              <w:rPr>
                <w:rFonts w:cs="Arial"/>
                <w:color w:val="auto"/>
              </w:rPr>
            </w:pPr>
            <w:r w:rsidRPr="005E0CB4">
              <w:rPr>
                <w:rFonts w:cs="Arial"/>
                <w:color w:val="auto"/>
              </w:rPr>
              <w:t xml:space="preserve">Head of Communities </w:t>
            </w:r>
          </w:p>
        </w:tc>
      </w:tr>
      <w:tr w:rsidR="00D37B70" w:rsidRPr="005E0CB4" w14:paraId="4A3A4E9F" w14:textId="77777777" w:rsidTr="00D92A63">
        <w:trPr>
          <w:cantSplit/>
          <w:trHeight w:val="396"/>
        </w:trPr>
        <w:tc>
          <w:tcPr>
            <w:tcW w:w="3969" w:type="dxa"/>
            <w:tcBorders>
              <w:top w:val="nil"/>
              <w:left w:val="single" w:sz="8" w:space="0" w:color="000000"/>
              <w:bottom w:val="nil"/>
              <w:right w:val="nil"/>
            </w:tcBorders>
            <w:shd w:val="clear" w:color="auto" w:fill="auto"/>
          </w:tcPr>
          <w:p w14:paraId="0DEF088A" w14:textId="77777777" w:rsidR="00D37B70" w:rsidRPr="005E0CB4" w:rsidRDefault="00D37B70" w:rsidP="00732742">
            <w:pPr>
              <w:jc w:val="both"/>
              <w:rPr>
                <w:rFonts w:cs="Arial"/>
                <w:color w:val="auto"/>
              </w:rPr>
            </w:pPr>
            <w:r w:rsidRPr="005E0CB4">
              <w:rPr>
                <w:rFonts w:cs="Arial"/>
                <w:color w:val="auto"/>
              </w:rPr>
              <w:t>Service area or department</w:t>
            </w:r>
          </w:p>
        </w:tc>
        <w:tc>
          <w:tcPr>
            <w:tcW w:w="4962" w:type="dxa"/>
            <w:tcBorders>
              <w:top w:val="nil"/>
              <w:left w:val="nil"/>
              <w:bottom w:val="nil"/>
              <w:right w:val="single" w:sz="8" w:space="0" w:color="000000"/>
            </w:tcBorders>
            <w:shd w:val="clear" w:color="auto" w:fill="auto"/>
          </w:tcPr>
          <w:p w14:paraId="26273C20" w14:textId="77777777" w:rsidR="00D37B70" w:rsidRPr="005E0CB4" w:rsidRDefault="00D37B70" w:rsidP="00732742">
            <w:pPr>
              <w:jc w:val="both"/>
              <w:rPr>
                <w:rFonts w:cs="Arial"/>
                <w:color w:val="auto"/>
              </w:rPr>
            </w:pPr>
            <w:r w:rsidRPr="005E0CB4">
              <w:rPr>
                <w:rFonts w:cs="Arial"/>
                <w:color w:val="auto"/>
              </w:rPr>
              <w:t>Communities</w:t>
            </w:r>
          </w:p>
        </w:tc>
      </w:tr>
      <w:tr w:rsidR="00D37B70" w:rsidRPr="005E0CB4" w14:paraId="0D6DBCA4" w14:textId="77777777" w:rsidTr="00D92A63">
        <w:trPr>
          <w:cantSplit/>
          <w:trHeight w:val="396"/>
        </w:trPr>
        <w:tc>
          <w:tcPr>
            <w:tcW w:w="3969" w:type="dxa"/>
            <w:tcBorders>
              <w:top w:val="nil"/>
              <w:left w:val="single" w:sz="8" w:space="0" w:color="000000"/>
              <w:bottom w:val="nil"/>
              <w:right w:val="nil"/>
            </w:tcBorders>
            <w:shd w:val="clear" w:color="auto" w:fill="auto"/>
          </w:tcPr>
          <w:p w14:paraId="39E7100A" w14:textId="77777777" w:rsidR="00D37B70" w:rsidRPr="005E0CB4" w:rsidRDefault="00D37B70" w:rsidP="00732742">
            <w:pPr>
              <w:jc w:val="both"/>
              <w:rPr>
                <w:rFonts w:cs="Arial"/>
                <w:color w:val="auto"/>
              </w:rPr>
            </w:pPr>
            <w:r w:rsidRPr="005E0CB4">
              <w:rPr>
                <w:rFonts w:cs="Arial"/>
                <w:color w:val="auto"/>
              </w:rPr>
              <w:t xml:space="preserve">Telephone </w:t>
            </w:r>
          </w:p>
        </w:tc>
        <w:tc>
          <w:tcPr>
            <w:tcW w:w="4962" w:type="dxa"/>
            <w:tcBorders>
              <w:top w:val="nil"/>
              <w:left w:val="nil"/>
              <w:bottom w:val="nil"/>
              <w:right w:val="single" w:sz="8" w:space="0" w:color="000000"/>
            </w:tcBorders>
            <w:shd w:val="clear" w:color="auto" w:fill="auto"/>
          </w:tcPr>
          <w:p w14:paraId="705F2725" w14:textId="77777777" w:rsidR="00D37B70" w:rsidRPr="005E0CB4" w:rsidRDefault="00D37B70" w:rsidP="00732742">
            <w:pPr>
              <w:jc w:val="both"/>
              <w:rPr>
                <w:rFonts w:cs="Arial"/>
                <w:color w:val="auto"/>
              </w:rPr>
            </w:pPr>
            <w:r w:rsidRPr="005E0CB4">
              <w:rPr>
                <w:rFonts w:cs="Arial"/>
                <w:color w:val="auto"/>
              </w:rPr>
              <w:t>01865 252705</w:t>
            </w:r>
          </w:p>
        </w:tc>
      </w:tr>
      <w:tr w:rsidR="00D37B70" w:rsidRPr="005E0CB4" w14:paraId="0C212EF0" w14:textId="77777777" w:rsidTr="00D92A63">
        <w:trPr>
          <w:cantSplit/>
          <w:trHeight w:val="396"/>
        </w:trPr>
        <w:tc>
          <w:tcPr>
            <w:tcW w:w="3969" w:type="dxa"/>
            <w:tcBorders>
              <w:top w:val="nil"/>
              <w:left w:val="single" w:sz="8" w:space="0" w:color="000000"/>
              <w:bottom w:val="single" w:sz="8" w:space="0" w:color="000000"/>
              <w:right w:val="nil"/>
            </w:tcBorders>
            <w:shd w:val="clear" w:color="auto" w:fill="auto"/>
          </w:tcPr>
          <w:p w14:paraId="45EA9F58" w14:textId="77777777" w:rsidR="00D37B70" w:rsidRPr="005E0CB4" w:rsidRDefault="00D37B70" w:rsidP="00732742">
            <w:pPr>
              <w:jc w:val="both"/>
              <w:rPr>
                <w:rFonts w:cs="Arial"/>
                <w:color w:val="auto"/>
              </w:rPr>
            </w:pPr>
            <w:r w:rsidRPr="005E0CB4">
              <w:rPr>
                <w:rFonts w:cs="Arial"/>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4EFBC8C" w14:textId="77777777" w:rsidR="00D37B70" w:rsidRPr="005E0CB4" w:rsidRDefault="00D37B70" w:rsidP="00732742">
            <w:pPr>
              <w:jc w:val="both"/>
              <w:rPr>
                <w:rFonts w:cs="Arial"/>
                <w:color w:val="auto"/>
              </w:rPr>
            </w:pPr>
            <w:r w:rsidRPr="005E0CB4">
              <w:rPr>
                <w:rFonts w:cs="Arial"/>
                <w:color w:val="auto"/>
              </w:rPr>
              <w:t>i</w:t>
            </w:r>
            <w:hyperlink r:id="rId17" w:history="1">
              <w:r w:rsidRPr="005E0CB4">
                <w:rPr>
                  <w:rFonts w:cs="Arial"/>
                  <w:color w:val="auto"/>
                </w:rPr>
                <w:t>brooke@oxford.gov.uk</w:t>
              </w:r>
            </w:hyperlink>
            <w:r w:rsidRPr="005E0CB4">
              <w:rPr>
                <w:rFonts w:cs="Arial"/>
                <w:color w:val="auto"/>
              </w:rPr>
              <w:t xml:space="preserve">  </w:t>
            </w:r>
          </w:p>
        </w:tc>
      </w:tr>
    </w:tbl>
    <w:p w14:paraId="5844CD42" w14:textId="77777777" w:rsidR="00286F4D" w:rsidRPr="005E7E1A" w:rsidRDefault="00286F4D" w:rsidP="00732742">
      <w:pPr>
        <w:jc w:val="both"/>
        <w:rPr>
          <w:rFonts w:cs="Arial"/>
          <w:color w:val="auto"/>
        </w:rPr>
      </w:pPr>
    </w:p>
    <w:p w14:paraId="62833145" w14:textId="77777777" w:rsidR="00286F4D" w:rsidRPr="005E7E1A" w:rsidRDefault="00286F4D" w:rsidP="00732742">
      <w:pPr>
        <w:jc w:val="both"/>
        <w:rPr>
          <w:rFonts w:cs="Arial"/>
          <w:color w:val="auto"/>
        </w:rPr>
      </w:pPr>
    </w:p>
    <w:sectPr w:rsidR="00286F4D" w:rsidRPr="005E7E1A" w:rsidSect="00E60D22">
      <w:footerReference w:type="even" r:id="rId18"/>
      <w:headerReference w:type="first" r:id="rId19"/>
      <w:footerReference w:type="first" r:id="rId20"/>
      <w:pgSz w:w="11906" w:h="16838" w:code="9"/>
      <w:pgMar w:top="851" w:right="1304" w:bottom="851" w:left="1304" w:header="1134"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006505" w16cex:dateUtc="2021-10-27T13:08:35.938Z"/>
  <w16cex:commentExtensible w16cex:durableId="7A393496" w16cex:dateUtc="2021-10-27T13:09:05.5Z"/>
  <w16cex:commentExtensible w16cex:durableId="40D8FE96" w16cex:dateUtc="2021-10-27T13:11:24.332Z"/>
  <w16cex:commentExtensible w16cex:durableId="538ACC58" w16cex:dateUtc="2021-10-27T13:25:27.519Z"/>
  <w16cex:commentExtensible w16cex:durableId="493EF4C5" w16cex:dateUtc="2021-10-27T13:26:14.906Z"/>
  <w16cex:commentExtensible w16cex:durableId="20CD03FB" w16cex:dateUtc="2021-10-27T13:32:56.824Z"/>
  <w16cex:commentExtensible w16cex:durableId="2E6A9166" w16cex:dateUtc="2021-10-27T13:33:18.7Z"/>
  <w16cex:commentExtensible w16cex:durableId="4EB20C43" w16cex:dateUtc="2021-10-27T13:48:59.098Z"/>
  <w16cex:commentExtensible w16cex:durableId="6C1D0DB2" w16cex:dateUtc="2021-10-27T13:54:47.424Z"/>
</w16cex:commentsExtensible>
</file>

<file path=word/commentsIds.xml><?xml version="1.0" encoding="utf-8"?>
<w16cid:commentsIds xmlns:mc="http://schemas.openxmlformats.org/markup-compatibility/2006" xmlns:w16cid="http://schemas.microsoft.com/office/word/2016/wordml/cid" mc:Ignorable="w16cid">
  <w16cid:commentId w16cid:paraId="2E130059" w16cid:durableId="3E89A695"/>
  <w16cid:commentId w16cid:paraId="71625669" w16cid:durableId="0C006505"/>
  <w16cid:commentId w16cid:paraId="2C9E1668" w16cid:durableId="7A393496"/>
  <w16cid:commentId w16cid:paraId="473FCECA" w16cid:durableId="40D8FE96"/>
  <w16cid:commentId w16cid:paraId="45C0E3C1" w16cid:durableId="538ACC58"/>
  <w16cid:commentId w16cid:paraId="6187A408" w16cid:durableId="493EF4C5"/>
  <w16cid:commentId w16cid:paraId="5C4186BC" w16cid:durableId="20CD03FB"/>
  <w16cid:commentId w16cid:paraId="6AEF0A6F" w16cid:durableId="2E6A9166"/>
  <w16cid:commentId w16cid:paraId="75DE0E42" w16cid:durableId="4EB20C43"/>
  <w16cid:commentId w16cid:paraId="0683D745" w16cid:durableId="6C1D0D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F28D3" w14:textId="77777777" w:rsidR="00174F46" w:rsidRDefault="00174F46" w:rsidP="00D37B70">
      <w:pPr>
        <w:spacing w:after="0"/>
      </w:pPr>
      <w:r>
        <w:separator/>
      </w:r>
    </w:p>
  </w:endnote>
  <w:endnote w:type="continuationSeparator" w:id="0">
    <w:p w14:paraId="6FBD6F1A" w14:textId="77777777" w:rsidR="00174F46" w:rsidRDefault="00174F46" w:rsidP="00D37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B730" w14:textId="77777777" w:rsidR="0003084D" w:rsidRDefault="0003084D" w:rsidP="00D92A63">
    <w:pPr>
      <w:pStyle w:val="Footer"/>
    </w:pPr>
    <w:r>
      <w:t>Do not use a footer or page numbers.</w:t>
    </w:r>
  </w:p>
  <w:p w14:paraId="4D278DFE" w14:textId="77777777" w:rsidR="0003084D" w:rsidRDefault="0003084D" w:rsidP="00D92A63">
    <w:pPr>
      <w:pStyle w:val="Footer"/>
    </w:pPr>
  </w:p>
  <w:p w14:paraId="017F3626" w14:textId="77777777" w:rsidR="0003084D" w:rsidRDefault="0003084D" w:rsidP="00D9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903F" w14:textId="77777777" w:rsidR="0003084D" w:rsidRDefault="0003084D" w:rsidP="00D92A63">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3E505" w14:textId="77777777" w:rsidR="00174F46" w:rsidRDefault="00174F46" w:rsidP="00D37B70">
      <w:pPr>
        <w:spacing w:after="0"/>
      </w:pPr>
      <w:r>
        <w:separator/>
      </w:r>
    </w:p>
  </w:footnote>
  <w:footnote w:type="continuationSeparator" w:id="0">
    <w:p w14:paraId="59C2A73A" w14:textId="77777777" w:rsidR="00174F46" w:rsidRDefault="00174F46" w:rsidP="00D37B70">
      <w:pPr>
        <w:spacing w:after="0"/>
      </w:pPr>
      <w:r>
        <w:continuationSeparator/>
      </w:r>
    </w:p>
  </w:footnote>
  <w:footnote w:id="1">
    <w:p w14:paraId="176135FD" w14:textId="77777777" w:rsidR="0003084D" w:rsidRDefault="0003084D" w:rsidP="00F3189F">
      <w:pPr>
        <w:pStyle w:val="FootnoteText"/>
      </w:pPr>
      <w:r>
        <w:rPr>
          <w:rStyle w:val="FootnoteReference"/>
        </w:rPr>
        <w:footnoteRef/>
      </w:r>
      <w:r>
        <w:t xml:space="preserve"> </w:t>
      </w:r>
      <w:r w:rsidRPr="00831125">
        <w:t>https://www.oxford.gov.uk/info/20131/population/463/first_or_preferred_language</w:t>
      </w:r>
    </w:p>
  </w:footnote>
  <w:footnote w:id="2">
    <w:p w14:paraId="0760D972" w14:textId="77777777" w:rsidR="0003084D" w:rsidRDefault="0003084D" w:rsidP="00F3189F">
      <w:pPr>
        <w:pStyle w:val="FootnoteText"/>
      </w:pPr>
      <w:r>
        <w:rPr>
          <w:rStyle w:val="FootnoteReference"/>
        </w:rPr>
        <w:footnoteRef/>
      </w:r>
      <w:r>
        <w:t xml:space="preserve"> </w:t>
      </w:r>
      <w:r w:rsidRPr="00083F86">
        <w:t>Indices_of_Deprivation_2019_Oxford_Report_word_version_v3.pdf</w:t>
      </w:r>
      <w:r>
        <w:t xml:space="preserve"> at oxford.gov.uk</w:t>
      </w:r>
    </w:p>
  </w:footnote>
  <w:footnote w:id="3">
    <w:p w14:paraId="2982962D" w14:textId="77777777" w:rsidR="0003084D" w:rsidRDefault="0003084D" w:rsidP="00F3189F">
      <w:pPr>
        <w:pStyle w:val="FootnoteText"/>
      </w:pPr>
      <w:r>
        <w:rPr>
          <w:rStyle w:val="FootnoteReference"/>
        </w:rPr>
        <w:footnoteRef/>
      </w:r>
      <w:r>
        <w:t xml:space="preserve"> </w:t>
      </w:r>
      <w:r w:rsidRPr="00684843">
        <w:t>https://www.centreforcities.org/city/oxford/</w:t>
      </w:r>
    </w:p>
  </w:footnote>
  <w:footnote w:id="4">
    <w:p w14:paraId="11C7F2D3" w14:textId="77777777" w:rsidR="0003084D" w:rsidRDefault="0003084D" w:rsidP="00F3189F">
      <w:pPr>
        <w:pStyle w:val="FootnoteText"/>
      </w:pPr>
      <w:r>
        <w:rPr>
          <w:rStyle w:val="FootnoteReference"/>
        </w:rPr>
        <w:footnoteRef/>
      </w:r>
      <w:r>
        <w:t xml:space="preserve"> </w:t>
      </w:r>
      <w:r w:rsidRPr="00BE2AEF">
        <w:t>https://www.pwc.co.uk/industries/government-public-sector/good-growth.html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397E0" w14:textId="77777777" w:rsidR="0003084D" w:rsidRDefault="0003084D" w:rsidP="00D92A63">
    <w:pPr>
      <w:pStyle w:val="Header"/>
      <w:jc w:val="right"/>
    </w:pPr>
    <w:r>
      <w:rPr>
        <w:noProof/>
        <w:color w:val="2B579A"/>
        <w:shd w:val="clear" w:color="auto" w:fill="E6E6E6"/>
      </w:rPr>
      <w:drawing>
        <wp:inline distT="0" distB="0" distL="0" distR="0" wp14:anchorId="12D5EC58" wp14:editId="33D8988D">
          <wp:extent cx="843280" cy="1117600"/>
          <wp:effectExtent l="0" t="0" r="0" b="6350"/>
          <wp:docPr id="7" name="Picture 7"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JwkyRCiLh5gpeq" id="e6uPMe9H"/>
    <int:WordHash hashCode="QJWpmkKkc0O664" id="zglgqufs"/>
    <int:WordHash hashCode="aKEG9o09HnGWwu" id="sdu00DH8"/>
    <int:WordHash hashCode="jtzaURGvmX8j36" id="Y9HJgC/y"/>
    <int:WordHash hashCode="Q5wqDM+/nl99QF" id="hJql2Lzg"/>
    <int:WordHash hashCode="mVUdTcjuwZA3I6" id="dCuCAGeR"/>
    <int:WordHash hashCode="mT7yXcBvM2ku8U" id="/VEZ1A5R"/>
    <int:WordHash hashCode="+25XnY6NEiITAu" id="StcpYSJl"/>
    <int:WordHash hashCode="86SS/SC1zG3NSL" id="3Wjkul1Q"/>
    <int:WordHash hashCode="oDKeFME1Nby2NZ" id="R/aJl8GR"/>
    <int:WordHash hashCode="zTTvGrNsR6hOKw" id="LIS+2JwC"/>
  </int:Manifest>
  <int:Observations>
    <int:Content id="e6uPMe9H">
      <int:Rejection type="LegacyProofing"/>
    </int:Content>
    <int:Content id="zglgqufs">
      <int:Rejection type="LegacyProofing"/>
    </int:Content>
    <int:Content id="sdu00DH8">
      <int:Rejection type="LegacyProofing"/>
    </int:Content>
    <int:Content id="Y9HJgC/y">
      <int:Rejection type="LegacyProofing"/>
    </int:Content>
    <int:Content id="hJql2Lzg">
      <int:Rejection type="AugLoop_Acronyms_AcronymsCritique"/>
    </int:Content>
    <int:Content id="dCuCAGeR">
      <int:Rejection type="AugLoop_Acronyms_AcronymsCritique"/>
    </int:Content>
    <int:Content id="/VEZ1A5R">
      <int:Rejection type="AugLoop_Acronyms_AcronymsCritique"/>
    </int:Content>
    <int:Content id="StcpYSJl">
      <int:Rejection type="AugLoop_Text_Critique"/>
    </int:Content>
    <int:Content id="3Wjkul1Q">
      <int:Rejection type="AugLoop_Text_Critique"/>
    </int:Content>
    <int:Content id="R/aJl8GR">
      <int:Rejection type="AugLoop_Text_Critique"/>
    </int:Content>
    <int:Content id="LIS+2JwC">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A5A1F13"/>
    <w:multiLevelType w:val="hybridMultilevel"/>
    <w:tmpl w:val="1D860F9C"/>
    <w:lvl w:ilvl="0" w:tplc="1A8CE15A">
      <w:start w:val="1"/>
      <w:numFmt w:val="decimal"/>
      <w:lvlText w:val="%1."/>
      <w:lvlJc w:val="left"/>
      <w:pPr>
        <w:ind w:left="720" w:hanging="360"/>
      </w:pPr>
      <w:rPr>
        <w:rFonts w:ascii="Arial" w:hAnsi="Arial" w:cs="Arial"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B91A7E"/>
    <w:multiLevelType w:val="multilevel"/>
    <w:tmpl w:val="F5741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E4393"/>
    <w:multiLevelType w:val="multilevel"/>
    <w:tmpl w:val="04488F6C"/>
    <w:lvl w:ilvl="0">
      <w:start w:val="1"/>
      <w:numFmt w:val="upperRoman"/>
      <w:lvlText w:val="%1."/>
      <w:lvlJc w:val="right"/>
      <w:pPr>
        <w:ind w:left="1210" w:hanging="360"/>
      </w:pPr>
      <w:rPr>
        <w:rFonts w:hint="default"/>
        <w:sz w:val="16"/>
      </w:rPr>
    </w:lvl>
    <w:lvl w:ilvl="1">
      <w:start w:val="1"/>
      <w:numFmt w:val="bullet"/>
      <w:lvlText w:val=""/>
      <w:lvlJc w:val="left"/>
      <w:pPr>
        <w:ind w:left="1570" w:hanging="360"/>
      </w:pPr>
      <w:rPr>
        <w:rFonts w:ascii="Wingdings" w:hAnsi="Wingdings" w:hint="default"/>
      </w:rPr>
    </w:lvl>
    <w:lvl w:ilvl="2">
      <w:start w:val="1"/>
      <w:numFmt w:val="bullet"/>
      <w:lvlText w:val=""/>
      <w:lvlJc w:val="left"/>
      <w:pPr>
        <w:ind w:left="1930" w:hanging="360"/>
      </w:pPr>
      <w:rPr>
        <w:rFonts w:ascii="Wingdings" w:hAnsi="Wingdings" w:hint="default"/>
      </w:rPr>
    </w:lvl>
    <w:lvl w:ilvl="3">
      <w:start w:val="1"/>
      <w:numFmt w:val="bullet"/>
      <w:lvlText w:val=""/>
      <w:lvlJc w:val="left"/>
      <w:pPr>
        <w:ind w:left="2290" w:hanging="360"/>
      </w:pPr>
      <w:rPr>
        <w:rFonts w:ascii="Symbol" w:hAnsi="Symbol" w:hint="default"/>
      </w:rPr>
    </w:lvl>
    <w:lvl w:ilvl="4">
      <w:start w:val="1"/>
      <w:numFmt w:val="bullet"/>
      <w:lvlText w:val=""/>
      <w:lvlJc w:val="left"/>
      <w:pPr>
        <w:ind w:left="2650" w:hanging="360"/>
      </w:pPr>
      <w:rPr>
        <w:rFonts w:ascii="Symbol" w:hAnsi="Symbol" w:hint="default"/>
      </w:rPr>
    </w:lvl>
    <w:lvl w:ilvl="5">
      <w:start w:val="1"/>
      <w:numFmt w:val="bullet"/>
      <w:lvlText w:val=""/>
      <w:lvlJc w:val="left"/>
      <w:pPr>
        <w:ind w:left="3010" w:hanging="360"/>
      </w:pPr>
      <w:rPr>
        <w:rFonts w:ascii="Wingdings" w:hAnsi="Wingdings" w:hint="default"/>
      </w:rPr>
    </w:lvl>
    <w:lvl w:ilvl="6">
      <w:start w:val="1"/>
      <w:numFmt w:val="bullet"/>
      <w:lvlText w:val=""/>
      <w:lvlJc w:val="left"/>
      <w:pPr>
        <w:ind w:left="3370" w:hanging="360"/>
      </w:pPr>
      <w:rPr>
        <w:rFonts w:ascii="Wingdings" w:hAnsi="Wingdings" w:hint="default"/>
      </w:rPr>
    </w:lvl>
    <w:lvl w:ilvl="7">
      <w:start w:val="1"/>
      <w:numFmt w:val="bullet"/>
      <w:lvlText w:val=""/>
      <w:lvlJc w:val="left"/>
      <w:pPr>
        <w:ind w:left="3730" w:hanging="360"/>
      </w:pPr>
      <w:rPr>
        <w:rFonts w:ascii="Symbol" w:hAnsi="Symbol" w:hint="default"/>
      </w:rPr>
    </w:lvl>
    <w:lvl w:ilvl="8">
      <w:start w:val="1"/>
      <w:numFmt w:val="bullet"/>
      <w:lvlText w:val=""/>
      <w:lvlJc w:val="left"/>
      <w:pPr>
        <w:ind w:left="4090" w:hanging="360"/>
      </w:pPr>
      <w:rPr>
        <w:rFonts w:ascii="Symbol" w:hAnsi="Symbol" w:hint="default"/>
      </w:rPr>
    </w:lvl>
  </w:abstractNum>
  <w:abstractNum w:abstractNumId="4">
    <w:nsid w:val="3FA42576"/>
    <w:multiLevelType w:val="hybridMultilevel"/>
    <w:tmpl w:val="4776CDF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B7454A0"/>
    <w:multiLevelType w:val="multilevel"/>
    <w:tmpl w:val="B19E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4D27A1"/>
    <w:multiLevelType w:val="hybridMultilevel"/>
    <w:tmpl w:val="37700EEA"/>
    <w:lvl w:ilvl="0" w:tplc="D202279E">
      <w:start w:val="1"/>
      <w:numFmt w:val="decimal"/>
      <w:lvlText w:val="%1."/>
      <w:lvlJc w:val="left"/>
      <w:pPr>
        <w:ind w:left="720" w:hanging="360"/>
      </w:pPr>
      <w:rPr>
        <w:rFonts w:cs="Times New Roman"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8365C6"/>
    <w:multiLevelType w:val="multilevel"/>
    <w:tmpl w:val="E67CE66C"/>
    <w:numStyleLink w:val="StyleNumberedLeft0cmHanging075cm"/>
  </w:abstractNum>
  <w:num w:numId="1">
    <w:abstractNumId w:val="0"/>
  </w:num>
  <w:num w:numId="2">
    <w:abstractNumId w:val="7"/>
    <w:lvlOverride w:ilvl="0">
      <w:lvl w:ilvl="0">
        <w:numFmt w:val="decimal"/>
        <w:pStyle w:val="ListParagraph"/>
        <w:lvlText w:val="%1."/>
        <w:lvlJc w:val="left"/>
        <w:pPr>
          <w:ind w:left="360" w:hanging="360"/>
        </w:pPr>
        <w:rPr>
          <w:b w:val="0"/>
          <w:i w:val="0"/>
          <w:color w:val="000000"/>
          <w:sz w:val="24"/>
        </w:rPr>
      </w:lvl>
    </w:lvlOverride>
  </w:num>
  <w:num w:numId="3">
    <w:abstractNumId w:val="5"/>
  </w:num>
  <w:num w:numId="4">
    <w:abstractNumId w:val="1"/>
  </w:num>
  <w:num w:numId="5">
    <w:abstractNumId w:val="2"/>
  </w:num>
  <w:num w:numId="6">
    <w:abstractNumId w:val="3"/>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CxNDY2MTY3NTAzMjZT0lEKTi0uzszPAykwNqsFACpE5j0tAAAA"/>
  </w:docVars>
  <w:rsids>
    <w:rsidRoot w:val="00533912"/>
    <w:rsid w:val="00007377"/>
    <w:rsid w:val="00010523"/>
    <w:rsid w:val="0003084D"/>
    <w:rsid w:val="000346EA"/>
    <w:rsid w:val="00037F7D"/>
    <w:rsid w:val="00054312"/>
    <w:rsid w:val="0006773D"/>
    <w:rsid w:val="000B446C"/>
    <w:rsid w:val="000C173C"/>
    <w:rsid w:val="000D0C27"/>
    <w:rsid w:val="000D51EC"/>
    <w:rsid w:val="000E2FF9"/>
    <w:rsid w:val="000E3BC4"/>
    <w:rsid w:val="000F18CD"/>
    <w:rsid w:val="000F5835"/>
    <w:rsid w:val="00112488"/>
    <w:rsid w:val="00112F84"/>
    <w:rsid w:val="001571C9"/>
    <w:rsid w:val="0015768A"/>
    <w:rsid w:val="00167E24"/>
    <w:rsid w:val="00174F46"/>
    <w:rsid w:val="00176D9B"/>
    <w:rsid w:val="001775BA"/>
    <w:rsid w:val="0017760E"/>
    <w:rsid w:val="001908AA"/>
    <w:rsid w:val="001A622F"/>
    <w:rsid w:val="001B00DA"/>
    <w:rsid w:val="001B0D44"/>
    <w:rsid w:val="001B1351"/>
    <w:rsid w:val="001B3765"/>
    <w:rsid w:val="001B590E"/>
    <w:rsid w:val="001C544E"/>
    <w:rsid w:val="001E1FFF"/>
    <w:rsid w:val="001E4BBC"/>
    <w:rsid w:val="001E6713"/>
    <w:rsid w:val="00216168"/>
    <w:rsid w:val="00216B0E"/>
    <w:rsid w:val="00217B29"/>
    <w:rsid w:val="0022122F"/>
    <w:rsid w:val="00233339"/>
    <w:rsid w:val="00237877"/>
    <w:rsid w:val="00251EC4"/>
    <w:rsid w:val="00252547"/>
    <w:rsid w:val="002530C6"/>
    <w:rsid w:val="002639AF"/>
    <w:rsid w:val="00265EDD"/>
    <w:rsid w:val="002721F7"/>
    <w:rsid w:val="00276141"/>
    <w:rsid w:val="00285533"/>
    <w:rsid w:val="00285584"/>
    <w:rsid w:val="00285770"/>
    <w:rsid w:val="00286F4D"/>
    <w:rsid w:val="00291358"/>
    <w:rsid w:val="00294583"/>
    <w:rsid w:val="002968A4"/>
    <w:rsid w:val="002A4D5A"/>
    <w:rsid w:val="002A533B"/>
    <w:rsid w:val="002C4A13"/>
    <w:rsid w:val="002C4C4C"/>
    <w:rsid w:val="002C7320"/>
    <w:rsid w:val="002D4534"/>
    <w:rsid w:val="002F2CB8"/>
    <w:rsid w:val="00320790"/>
    <w:rsid w:val="00321F6C"/>
    <w:rsid w:val="003320ED"/>
    <w:rsid w:val="00371A2B"/>
    <w:rsid w:val="003A014E"/>
    <w:rsid w:val="003A037E"/>
    <w:rsid w:val="003A14F0"/>
    <w:rsid w:val="003A7884"/>
    <w:rsid w:val="003C2DF6"/>
    <w:rsid w:val="003D1E97"/>
    <w:rsid w:val="004035E3"/>
    <w:rsid w:val="0040508D"/>
    <w:rsid w:val="00416B55"/>
    <w:rsid w:val="004253C5"/>
    <w:rsid w:val="00434B5D"/>
    <w:rsid w:val="00440B84"/>
    <w:rsid w:val="00464633"/>
    <w:rsid w:val="0047609E"/>
    <w:rsid w:val="00486409"/>
    <w:rsid w:val="004878EA"/>
    <w:rsid w:val="004A1A4B"/>
    <w:rsid w:val="004A546D"/>
    <w:rsid w:val="004BCD89"/>
    <w:rsid w:val="004C5E11"/>
    <w:rsid w:val="004D1E99"/>
    <w:rsid w:val="004D2E1D"/>
    <w:rsid w:val="004E513F"/>
    <w:rsid w:val="004F5663"/>
    <w:rsid w:val="00505EC5"/>
    <w:rsid w:val="00514459"/>
    <w:rsid w:val="00517CDF"/>
    <w:rsid w:val="00525E05"/>
    <w:rsid w:val="00526EA1"/>
    <w:rsid w:val="005309EB"/>
    <w:rsid w:val="00533912"/>
    <w:rsid w:val="00534B0F"/>
    <w:rsid w:val="00534F05"/>
    <w:rsid w:val="0055239F"/>
    <w:rsid w:val="0056352D"/>
    <w:rsid w:val="005640C4"/>
    <w:rsid w:val="00586EAB"/>
    <w:rsid w:val="005A00A6"/>
    <w:rsid w:val="005A068C"/>
    <w:rsid w:val="005A5FE0"/>
    <w:rsid w:val="005C5338"/>
    <w:rsid w:val="005E0CB4"/>
    <w:rsid w:val="005E36A6"/>
    <w:rsid w:val="005E7E1A"/>
    <w:rsid w:val="005F0C04"/>
    <w:rsid w:val="005F207B"/>
    <w:rsid w:val="005F771B"/>
    <w:rsid w:val="00606D0C"/>
    <w:rsid w:val="00614E92"/>
    <w:rsid w:val="00616F71"/>
    <w:rsid w:val="00622CE3"/>
    <w:rsid w:val="0063037E"/>
    <w:rsid w:val="00642D3F"/>
    <w:rsid w:val="00654B90"/>
    <w:rsid w:val="00685F65"/>
    <w:rsid w:val="00687CAB"/>
    <w:rsid w:val="00697850"/>
    <w:rsid w:val="006A0C63"/>
    <w:rsid w:val="006A694A"/>
    <w:rsid w:val="006E72DD"/>
    <w:rsid w:val="006F2BCD"/>
    <w:rsid w:val="00700B24"/>
    <w:rsid w:val="0070104A"/>
    <w:rsid w:val="00717A0E"/>
    <w:rsid w:val="00717F04"/>
    <w:rsid w:val="0072566B"/>
    <w:rsid w:val="00727ECA"/>
    <w:rsid w:val="0073267D"/>
    <w:rsid w:val="00732742"/>
    <w:rsid w:val="00750BFF"/>
    <w:rsid w:val="007740B8"/>
    <w:rsid w:val="0077432F"/>
    <w:rsid w:val="00777BB1"/>
    <w:rsid w:val="00780231"/>
    <w:rsid w:val="00782FA2"/>
    <w:rsid w:val="00783D80"/>
    <w:rsid w:val="00784A78"/>
    <w:rsid w:val="0078689C"/>
    <w:rsid w:val="00793B5D"/>
    <w:rsid w:val="00794FB1"/>
    <w:rsid w:val="007955CF"/>
    <w:rsid w:val="007B747F"/>
    <w:rsid w:val="007C4B6D"/>
    <w:rsid w:val="007C6092"/>
    <w:rsid w:val="007E03A4"/>
    <w:rsid w:val="00827479"/>
    <w:rsid w:val="008417BC"/>
    <w:rsid w:val="00844232"/>
    <w:rsid w:val="00862F86"/>
    <w:rsid w:val="00863FF3"/>
    <w:rsid w:val="00873B39"/>
    <w:rsid w:val="0087583A"/>
    <w:rsid w:val="00892019"/>
    <w:rsid w:val="008A0635"/>
    <w:rsid w:val="008B01AF"/>
    <w:rsid w:val="008B42B6"/>
    <w:rsid w:val="008B7DCE"/>
    <w:rsid w:val="008C11CC"/>
    <w:rsid w:val="008C17EF"/>
    <w:rsid w:val="008C604E"/>
    <w:rsid w:val="008D73ED"/>
    <w:rsid w:val="008E2751"/>
    <w:rsid w:val="0090056C"/>
    <w:rsid w:val="009037CF"/>
    <w:rsid w:val="0090427D"/>
    <w:rsid w:val="00914C7C"/>
    <w:rsid w:val="0091526C"/>
    <w:rsid w:val="00916AE2"/>
    <w:rsid w:val="00930466"/>
    <w:rsid w:val="00930887"/>
    <w:rsid w:val="009315D8"/>
    <w:rsid w:val="00932D00"/>
    <w:rsid w:val="0094179B"/>
    <w:rsid w:val="00942CD1"/>
    <w:rsid w:val="009635F3"/>
    <w:rsid w:val="00994677"/>
    <w:rsid w:val="009C3FFB"/>
    <w:rsid w:val="009C6EB9"/>
    <w:rsid w:val="009F10EA"/>
    <w:rsid w:val="00A16010"/>
    <w:rsid w:val="00A24436"/>
    <w:rsid w:val="00A290B1"/>
    <w:rsid w:val="00A315B2"/>
    <w:rsid w:val="00A3641A"/>
    <w:rsid w:val="00A61921"/>
    <w:rsid w:val="00A669A2"/>
    <w:rsid w:val="00A76F08"/>
    <w:rsid w:val="00A84AE1"/>
    <w:rsid w:val="00A86564"/>
    <w:rsid w:val="00A910CD"/>
    <w:rsid w:val="00AC2E12"/>
    <w:rsid w:val="00AC5AC6"/>
    <w:rsid w:val="00AD26BE"/>
    <w:rsid w:val="00AF5299"/>
    <w:rsid w:val="00B02030"/>
    <w:rsid w:val="00B10732"/>
    <w:rsid w:val="00B1138F"/>
    <w:rsid w:val="00B22058"/>
    <w:rsid w:val="00B37329"/>
    <w:rsid w:val="00B4518B"/>
    <w:rsid w:val="00B61537"/>
    <w:rsid w:val="00B76F35"/>
    <w:rsid w:val="00B904BB"/>
    <w:rsid w:val="00B93455"/>
    <w:rsid w:val="00B93CC9"/>
    <w:rsid w:val="00BA0F0A"/>
    <w:rsid w:val="00BA513E"/>
    <w:rsid w:val="00BA52AD"/>
    <w:rsid w:val="00BA6690"/>
    <w:rsid w:val="00BB0EFA"/>
    <w:rsid w:val="00BB1563"/>
    <w:rsid w:val="00BB228E"/>
    <w:rsid w:val="00C0473C"/>
    <w:rsid w:val="00C14CE5"/>
    <w:rsid w:val="00C17D40"/>
    <w:rsid w:val="00C4012C"/>
    <w:rsid w:val="00C4271C"/>
    <w:rsid w:val="00C45864"/>
    <w:rsid w:val="00C6390E"/>
    <w:rsid w:val="00C81776"/>
    <w:rsid w:val="00C8214C"/>
    <w:rsid w:val="00C85922"/>
    <w:rsid w:val="00C95D95"/>
    <w:rsid w:val="00CA7FD0"/>
    <w:rsid w:val="00CD635D"/>
    <w:rsid w:val="00CD7C00"/>
    <w:rsid w:val="00CD7D51"/>
    <w:rsid w:val="00CE1C2F"/>
    <w:rsid w:val="00CF0FE5"/>
    <w:rsid w:val="00CF543F"/>
    <w:rsid w:val="00D0130F"/>
    <w:rsid w:val="00D026D1"/>
    <w:rsid w:val="00D02810"/>
    <w:rsid w:val="00D03E98"/>
    <w:rsid w:val="00D27266"/>
    <w:rsid w:val="00D33376"/>
    <w:rsid w:val="00D37B70"/>
    <w:rsid w:val="00D50996"/>
    <w:rsid w:val="00D567CB"/>
    <w:rsid w:val="00D82EF6"/>
    <w:rsid w:val="00D839D8"/>
    <w:rsid w:val="00D848A0"/>
    <w:rsid w:val="00D92A63"/>
    <w:rsid w:val="00D940E8"/>
    <w:rsid w:val="00DA018E"/>
    <w:rsid w:val="00DA116C"/>
    <w:rsid w:val="00DB0497"/>
    <w:rsid w:val="00DC02C1"/>
    <w:rsid w:val="00DC32E1"/>
    <w:rsid w:val="00DC552F"/>
    <w:rsid w:val="00DD4C4E"/>
    <w:rsid w:val="00DE3738"/>
    <w:rsid w:val="00DE391D"/>
    <w:rsid w:val="00E024BC"/>
    <w:rsid w:val="00E02EC3"/>
    <w:rsid w:val="00E2E289"/>
    <w:rsid w:val="00E35108"/>
    <w:rsid w:val="00E36C76"/>
    <w:rsid w:val="00E37F8D"/>
    <w:rsid w:val="00E43831"/>
    <w:rsid w:val="00E60D22"/>
    <w:rsid w:val="00E76BFC"/>
    <w:rsid w:val="00E8064D"/>
    <w:rsid w:val="00EB1290"/>
    <w:rsid w:val="00ED23BC"/>
    <w:rsid w:val="00ED61BC"/>
    <w:rsid w:val="00EF1CCD"/>
    <w:rsid w:val="00EF3037"/>
    <w:rsid w:val="00EF4CE7"/>
    <w:rsid w:val="00F10D7F"/>
    <w:rsid w:val="00F10E56"/>
    <w:rsid w:val="00F129B1"/>
    <w:rsid w:val="00F1536F"/>
    <w:rsid w:val="00F15532"/>
    <w:rsid w:val="00F1741F"/>
    <w:rsid w:val="00F24935"/>
    <w:rsid w:val="00F3189F"/>
    <w:rsid w:val="00F32179"/>
    <w:rsid w:val="00F44C28"/>
    <w:rsid w:val="00F472D3"/>
    <w:rsid w:val="00F5128E"/>
    <w:rsid w:val="00F51429"/>
    <w:rsid w:val="00F71ACC"/>
    <w:rsid w:val="00F80904"/>
    <w:rsid w:val="00FA0E37"/>
    <w:rsid w:val="00FA4BE6"/>
    <w:rsid w:val="00FA7F64"/>
    <w:rsid w:val="00FE209D"/>
    <w:rsid w:val="00FE2715"/>
    <w:rsid w:val="0101A5A1"/>
    <w:rsid w:val="0140CDB1"/>
    <w:rsid w:val="014BE45C"/>
    <w:rsid w:val="016D469E"/>
    <w:rsid w:val="0175673D"/>
    <w:rsid w:val="018D6AFA"/>
    <w:rsid w:val="018FD4A3"/>
    <w:rsid w:val="01E03D2B"/>
    <w:rsid w:val="0224D7A6"/>
    <w:rsid w:val="0237E412"/>
    <w:rsid w:val="026275EA"/>
    <w:rsid w:val="02C9598A"/>
    <w:rsid w:val="0379A012"/>
    <w:rsid w:val="03D468AA"/>
    <w:rsid w:val="04B9EC70"/>
    <w:rsid w:val="04FF4806"/>
    <w:rsid w:val="05593872"/>
    <w:rsid w:val="059FC2F8"/>
    <w:rsid w:val="05B1D2B0"/>
    <w:rsid w:val="05F59AAF"/>
    <w:rsid w:val="060EE4E5"/>
    <w:rsid w:val="06591515"/>
    <w:rsid w:val="069F464C"/>
    <w:rsid w:val="0799CDD3"/>
    <w:rsid w:val="08B74AF1"/>
    <w:rsid w:val="08D4C84C"/>
    <w:rsid w:val="08EB9E59"/>
    <w:rsid w:val="090CB786"/>
    <w:rsid w:val="098D5D93"/>
    <w:rsid w:val="09DA089E"/>
    <w:rsid w:val="0A178AA1"/>
    <w:rsid w:val="0A537C2D"/>
    <w:rsid w:val="0A6D531A"/>
    <w:rsid w:val="0AC83B0E"/>
    <w:rsid w:val="0C75CE04"/>
    <w:rsid w:val="0CA66C29"/>
    <w:rsid w:val="0D43B946"/>
    <w:rsid w:val="0E71A4E6"/>
    <w:rsid w:val="0E807AFB"/>
    <w:rsid w:val="0ECBAE3B"/>
    <w:rsid w:val="0F62D0AD"/>
    <w:rsid w:val="0F7DC4F2"/>
    <w:rsid w:val="100DE79A"/>
    <w:rsid w:val="1010A70D"/>
    <w:rsid w:val="11D52219"/>
    <w:rsid w:val="1222D7F0"/>
    <w:rsid w:val="123322BC"/>
    <w:rsid w:val="12528B30"/>
    <w:rsid w:val="1265D251"/>
    <w:rsid w:val="12801746"/>
    <w:rsid w:val="1301BD49"/>
    <w:rsid w:val="139EB6FE"/>
    <w:rsid w:val="13BBCFD7"/>
    <w:rsid w:val="13D3649D"/>
    <w:rsid w:val="14CBB56B"/>
    <w:rsid w:val="151C55C1"/>
    <w:rsid w:val="153A875F"/>
    <w:rsid w:val="1609B502"/>
    <w:rsid w:val="162DAE29"/>
    <w:rsid w:val="167ABF38"/>
    <w:rsid w:val="1738BE46"/>
    <w:rsid w:val="174A9E7E"/>
    <w:rsid w:val="18053C32"/>
    <w:rsid w:val="184AF579"/>
    <w:rsid w:val="18C8F15F"/>
    <w:rsid w:val="18F321C2"/>
    <w:rsid w:val="1978EC53"/>
    <w:rsid w:val="198FE8A6"/>
    <w:rsid w:val="19EDCA89"/>
    <w:rsid w:val="19FEF34E"/>
    <w:rsid w:val="1A3F600B"/>
    <w:rsid w:val="1A832570"/>
    <w:rsid w:val="1A937DE2"/>
    <w:rsid w:val="1AA46886"/>
    <w:rsid w:val="1ACFFD62"/>
    <w:rsid w:val="1B5D9DA4"/>
    <w:rsid w:val="1BCCCB71"/>
    <w:rsid w:val="1CD4EE15"/>
    <w:rsid w:val="1D07B47F"/>
    <w:rsid w:val="1D221BE4"/>
    <w:rsid w:val="1D66966F"/>
    <w:rsid w:val="1D7C17E3"/>
    <w:rsid w:val="1E059D48"/>
    <w:rsid w:val="1E38F6EC"/>
    <w:rsid w:val="1E654DD0"/>
    <w:rsid w:val="1EBA2253"/>
    <w:rsid w:val="1EF8DEBF"/>
    <w:rsid w:val="1F0B40D9"/>
    <w:rsid w:val="1F3721E6"/>
    <w:rsid w:val="1F40B01A"/>
    <w:rsid w:val="1FC5D3D4"/>
    <w:rsid w:val="20E68D8D"/>
    <w:rsid w:val="20FE0AFA"/>
    <w:rsid w:val="20FE33A7"/>
    <w:rsid w:val="216EF928"/>
    <w:rsid w:val="2183FE38"/>
    <w:rsid w:val="229A0408"/>
    <w:rsid w:val="229EBD8B"/>
    <w:rsid w:val="22F297CB"/>
    <w:rsid w:val="2314B693"/>
    <w:rsid w:val="231FCE99"/>
    <w:rsid w:val="23436476"/>
    <w:rsid w:val="2366B74B"/>
    <w:rsid w:val="237696DC"/>
    <w:rsid w:val="2381F8EA"/>
    <w:rsid w:val="23A0DB1D"/>
    <w:rsid w:val="23C0077F"/>
    <w:rsid w:val="23ED5FD3"/>
    <w:rsid w:val="255B1CD2"/>
    <w:rsid w:val="2630EF16"/>
    <w:rsid w:val="267A128F"/>
    <w:rsid w:val="269F8C7D"/>
    <w:rsid w:val="26C2D091"/>
    <w:rsid w:val="26FD3544"/>
    <w:rsid w:val="277A3708"/>
    <w:rsid w:val="2904802F"/>
    <w:rsid w:val="294E1911"/>
    <w:rsid w:val="2995252D"/>
    <w:rsid w:val="29B4E3E7"/>
    <w:rsid w:val="2A055CD3"/>
    <w:rsid w:val="2AE48153"/>
    <w:rsid w:val="2B8CFEA9"/>
    <w:rsid w:val="2BA1DB8A"/>
    <w:rsid w:val="2C957E02"/>
    <w:rsid w:val="2DC9F298"/>
    <w:rsid w:val="2DEBED16"/>
    <w:rsid w:val="2E2C02A1"/>
    <w:rsid w:val="2E3E623C"/>
    <w:rsid w:val="2E8D20E2"/>
    <w:rsid w:val="2EBA844B"/>
    <w:rsid w:val="2ECE6F1B"/>
    <w:rsid w:val="2ED601D2"/>
    <w:rsid w:val="2F01FF18"/>
    <w:rsid w:val="2F12AC6E"/>
    <w:rsid w:val="2FDAB2FD"/>
    <w:rsid w:val="30D8EC37"/>
    <w:rsid w:val="3198EEF3"/>
    <w:rsid w:val="31A97698"/>
    <w:rsid w:val="31EE3292"/>
    <w:rsid w:val="323E654F"/>
    <w:rsid w:val="328912E4"/>
    <w:rsid w:val="334E9E2A"/>
    <w:rsid w:val="336FD39A"/>
    <w:rsid w:val="337E0F85"/>
    <w:rsid w:val="33895D43"/>
    <w:rsid w:val="33E1A315"/>
    <w:rsid w:val="33EDE47A"/>
    <w:rsid w:val="3440B7FE"/>
    <w:rsid w:val="3462CE66"/>
    <w:rsid w:val="3520DBE5"/>
    <w:rsid w:val="3561DAA9"/>
    <w:rsid w:val="357942D2"/>
    <w:rsid w:val="35870457"/>
    <w:rsid w:val="358DCB52"/>
    <w:rsid w:val="35F77A6C"/>
    <w:rsid w:val="365A7FD8"/>
    <w:rsid w:val="375A4E88"/>
    <w:rsid w:val="3848A63D"/>
    <w:rsid w:val="385B553A"/>
    <w:rsid w:val="387CB242"/>
    <w:rsid w:val="38ECA95D"/>
    <w:rsid w:val="3902449F"/>
    <w:rsid w:val="3A03F78D"/>
    <w:rsid w:val="3B410B49"/>
    <w:rsid w:val="3B6FB648"/>
    <w:rsid w:val="3B9D6B98"/>
    <w:rsid w:val="3BC7EEF5"/>
    <w:rsid w:val="3CA1D54B"/>
    <w:rsid w:val="3D4F4AE5"/>
    <w:rsid w:val="3D863C62"/>
    <w:rsid w:val="3D977DB4"/>
    <w:rsid w:val="3DDEEE44"/>
    <w:rsid w:val="3E1C6D0C"/>
    <w:rsid w:val="3E4C2E6C"/>
    <w:rsid w:val="3E95266B"/>
    <w:rsid w:val="3EEBF3C6"/>
    <w:rsid w:val="3EED00FF"/>
    <w:rsid w:val="3F29AAC9"/>
    <w:rsid w:val="3F5EC593"/>
    <w:rsid w:val="40A84812"/>
    <w:rsid w:val="40E88ED4"/>
    <w:rsid w:val="40F52511"/>
    <w:rsid w:val="414C9A87"/>
    <w:rsid w:val="415F7E12"/>
    <w:rsid w:val="42F0330F"/>
    <w:rsid w:val="431FA0D4"/>
    <w:rsid w:val="4331AF27"/>
    <w:rsid w:val="435872D8"/>
    <w:rsid w:val="43AC79D4"/>
    <w:rsid w:val="4433B0EF"/>
    <w:rsid w:val="4439B6FF"/>
    <w:rsid w:val="44EC0360"/>
    <w:rsid w:val="45930D8E"/>
    <w:rsid w:val="4599A6EF"/>
    <w:rsid w:val="45BD590D"/>
    <w:rsid w:val="45D748AE"/>
    <w:rsid w:val="4641493B"/>
    <w:rsid w:val="46D02E4C"/>
    <w:rsid w:val="47C1F4E4"/>
    <w:rsid w:val="47DD199C"/>
    <w:rsid w:val="47DF1C72"/>
    <w:rsid w:val="482FBA75"/>
    <w:rsid w:val="48318B75"/>
    <w:rsid w:val="484E71C2"/>
    <w:rsid w:val="4854D786"/>
    <w:rsid w:val="4937186F"/>
    <w:rsid w:val="49D2CB37"/>
    <w:rsid w:val="4A33E819"/>
    <w:rsid w:val="4A3469C7"/>
    <w:rsid w:val="4AAA5970"/>
    <w:rsid w:val="4AC35470"/>
    <w:rsid w:val="4AF5A3AB"/>
    <w:rsid w:val="4B3BB2BC"/>
    <w:rsid w:val="4BB38B8E"/>
    <w:rsid w:val="4C0EE2FA"/>
    <w:rsid w:val="4C478E36"/>
    <w:rsid w:val="4C750E97"/>
    <w:rsid w:val="4CB9DB3E"/>
    <w:rsid w:val="4CD14080"/>
    <w:rsid w:val="4D0C5D3E"/>
    <w:rsid w:val="4D3C67F2"/>
    <w:rsid w:val="4D4FB5FE"/>
    <w:rsid w:val="4E79BD49"/>
    <w:rsid w:val="4EE310F8"/>
    <w:rsid w:val="4EEC1383"/>
    <w:rsid w:val="4F98FF3E"/>
    <w:rsid w:val="4FB87C8B"/>
    <w:rsid w:val="4FBE336F"/>
    <w:rsid w:val="508137A8"/>
    <w:rsid w:val="50D83199"/>
    <w:rsid w:val="50F1A503"/>
    <w:rsid w:val="516D0996"/>
    <w:rsid w:val="51941006"/>
    <w:rsid w:val="51FD4BE1"/>
    <w:rsid w:val="52B7E397"/>
    <w:rsid w:val="52FAA194"/>
    <w:rsid w:val="537C4003"/>
    <w:rsid w:val="537E650E"/>
    <w:rsid w:val="538749F3"/>
    <w:rsid w:val="53A5CF25"/>
    <w:rsid w:val="545AA229"/>
    <w:rsid w:val="5502D1DC"/>
    <w:rsid w:val="55948DEF"/>
    <w:rsid w:val="5610F392"/>
    <w:rsid w:val="562DB423"/>
    <w:rsid w:val="56A3FCEB"/>
    <w:rsid w:val="56BC9288"/>
    <w:rsid w:val="56F69844"/>
    <w:rsid w:val="573FEEE8"/>
    <w:rsid w:val="57633A78"/>
    <w:rsid w:val="587DD4F7"/>
    <w:rsid w:val="58DD05D6"/>
    <w:rsid w:val="596E8947"/>
    <w:rsid w:val="59771F18"/>
    <w:rsid w:val="597B16E4"/>
    <w:rsid w:val="5983946C"/>
    <w:rsid w:val="59849544"/>
    <w:rsid w:val="5A6DA46C"/>
    <w:rsid w:val="5BCA0967"/>
    <w:rsid w:val="5C436B4B"/>
    <w:rsid w:val="5C97F11A"/>
    <w:rsid w:val="5CBC1DEE"/>
    <w:rsid w:val="5CEBDC33"/>
    <w:rsid w:val="5E51E39E"/>
    <w:rsid w:val="5E603939"/>
    <w:rsid w:val="5EA7EB93"/>
    <w:rsid w:val="5EE881CC"/>
    <w:rsid w:val="5F06A1FE"/>
    <w:rsid w:val="5F2BB1F9"/>
    <w:rsid w:val="5F43F251"/>
    <w:rsid w:val="5F4748AB"/>
    <w:rsid w:val="6035E9A7"/>
    <w:rsid w:val="60E14289"/>
    <w:rsid w:val="6115C7EF"/>
    <w:rsid w:val="62CC7422"/>
    <w:rsid w:val="6386F7FE"/>
    <w:rsid w:val="638C4376"/>
    <w:rsid w:val="6438A933"/>
    <w:rsid w:val="643B6D1D"/>
    <w:rsid w:val="644D0EA2"/>
    <w:rsid w:val="64525647"/>
    <w:rsid w:val="64DB37AC"/>
    <w:rsid w:val="64F7CD84"/>
    <w:rsid w:val="64F8D9C9"/>
    <w:rsid w:val="65234A5C"/>
    <w:rsid w:val="66016455"/>
    <w:rsid w:val="663D68E7"/>
    <w:rsid w:val="6677E8CE"/>
    <w:rsid w:val="679DC64D"/>
    <w:rsid w:val="681BB3D2"/>
    <w:rsid w:val="6870565D"/>
    <w:rsid w:val="68F1C1B2"/>
    <w:rsid w:val="691901F0"/>
    <w:rsid w:val="69F8804D"/>
    <w:rsid w:val="6A64A76F"/>
    <w:rsid w:val="6AFCF7A3"/>
    <w:rsid w:val="6BC96291"/>
    <w:rsid w:val="6BF318EC"/>
    <w:rsid w:val="6C03B899"/>
    <w:rsid w:val="6C5E3596"/>
    <w:rsid w:val="6CDD0AA4"/>
    <w:rsid w:val="6CF43AC3"/>
    <w:rsid w:val="6D549F38"/>
    <w:rsid w:val="6D6CA5EF"/>
    <w:rsid w:val="6E075282"/>
    <w:rsid w:val="6E3BC3C1"/>
    <w:rsid w:val="6E3FDEF0"/>
    <w:rsid w:val="6E491BE3"/>
    <w:rsid w:val="6ECF5FB7"/>
    <w:rsid w:val="6F3A14ED"/>
    <w:rsid w:val="6FD47ACF"/>
    <w:rsid w:val="710195E1"/>
    <w:rsid w:val="710D2D3B"/>
    <w:rsid w:val="713B84EA"/>
    <w:rsid w:val="71D6BB10"/>
    <w:rsid w:val="729EC19F"/>
    <w:rsid w:val="73000ABE"/>
    <w:rsid w:val="7379553D"/>
    <w:rsid w:val="739AABBF"/>
    <w:rsid w:val="744F51B4"/>
    <w:rsid w:val="74FF4CA8"/>
    <w:rsid w:val="761A13BB"/>
    <w:rsid w:val="761E514D"/>
    <w:rsid w:val="767AFA54"/>
    <w:rsid w:val="769B3049"/>
    <w:rsid w:val="76B6B531"/>
    <w:rsid w:val="76B7ECEC"/>
    <w:rsid w:val="76E342E8"/>
    <w:rsid w:val="7752D5D4"/>
    <w:rsid w:val="78313734"/>
    <w:rsid w:val="78544EE5"/>
    <w:rsid w:val="785FC124"/>
    <w:rsid w:val="788171FD"/>
    <w:rsid w:val="79699BB1"/>
    <w:rsid w:val="797B5D15"/>
    <w:rsid w:val="7ABA59BA"/>
    <w:rsid w:val="7B5565CF"/>
    <w:rsid w:val="7CA66F12"/>
    <w:rsid w:val="7D55D29C"/>
    <w:rsid w:val="7DAAC00F"/>
    <w:rsid w:val="7DB9B163"/>
    <w:rsid w:val="7E2A878A"/>
    <w:rsid w:val="7EAD5CC3"/>
    <w:rsid w:val="7F8F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4AD4"/>
  <w15:chartTrackingRefBased/>
  <w15:docId w15:val="{A48A485D-A8C4-4756-B5B3-19AFE9BA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70"/>
    <w:pPr>
      <w:spacing w:after="120" w:line="240" w:lineRule="auto"/>
    </w:pPr>
    <w:rPr>
      <w:rFonts w:ascii="Arial" w:eastAsia="Times New Roman" w:hAnsi="Arial" w:cs="Times New Roman"/>
      <w:color w:val="000000"/>
      <w:sz w:val="24"/>
      <w:szCs w:val="24"/>
      <w:lang w:eastAsia="en-GB"/>
    </w:rPr>
  </w:style>
  <w:style w:type="paragraph" w:styleId="Heading1">
    <w:name w:val="heading 1"/>
    <w:aliases w:val="aHeading"/>
    <w:basedOn w:val="Normal"/>
    <w:next w:val="Normal"/>
    <w:link w:val="Heading1Char"/>
    <w:qFormat/>
    <w:rsid w:val="00D37B70"/>
    <w:pPr>
      <w:spacing w:before="240"/>
      <w:outlineLvl w:val="0"/>
    </w:pPr>
    <w:rPr>
      <w:b/>
    </w:rPr>
  </w:style>
  <w:style w:type="paragraph" w:styleId="Heading2">
    <w:name w:val="heading 2"/>
    <w:basedOn w:val="Normal"/>
    <w:next w:val="Normal"/>
    <w:link w:val="Heading2Char"/>
    <w:uiPriority w:val="9"/>
    <w:unhideWhenUsed/>
    <w:qFormat/>
    <w:rsid w:val="0073274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D37B70"/>
    <w:rPr>
      <w:rFonts w:ascii="Arial" w:eastAsia="Times New Roman" w:hAnsi="Arial" w:cs="Times New Roman"/>
      <w:b/>
      <w:color w:val="000000"/>
      <w:sz w:val="24"/>
      <w:szCs w:val="24"/>
      <w:lang w:eastAsia="en-GB"/>
    </w:rPr>
  </w:style>
  <w:style w:type="paragraph" w:styleId="Header">
    <w:name w:val="header"/>
    <w:basedOn w:val="Normal"/>
    <w:link w:val="HeaderChar"/>
    <w:uiPriority w:val="99"/>
    <w:rsid w:val="00D37B70"/>
    <w:pPr>
      <w:tabs>
        <w:tab w:val="center" w:pos="4153"/>
        <w:tab w:val="right" w:pos="8306"/>
      </w:tabs>
    </w:pPr>
    <w:rPr>
      <w:sz w:val="18"/>
    </w:rPr>
  </w:style>
  <w:style w:type="character" w:customStyle="1" w:styleId="HeaderChar">
    <w:name w:val="Header Char"/>
    <w:basedOn w:val="DefaultParagraphFont"/>
    <w:link w:val="Header"/>
    <w:uiPriority w:val="99"/>
    <w:rsid w:val="00D37B70"/>
    <w:rPr>
      <w:rFonts w:ascii="Arial" w:eastAsia="Times New Roman" w:hAnsi="Arial" w:cs="Times New Roman"/>
      <w:color w:val="000000"/>
      <w:sz w:val="18"/>
      <w:szCs w:val="24"/>
      <w:lang w:eastAsia="en-GB"/>
    </w:rPr>
  </w:style>
  <w:style w:type="paragraph" w:styleId="Footer">
    <w:name w:val="footer"/>
    <w:aliases w:val="zzFooter"/>
    <w:basedOn w:val="Normal"/>
    <w:link w:val="FooterChar"/>
    <w:rsid w:val="00D37B70"/>
    <w:pPr>
      <w:tabs>
        <w:tab w:val="center" w:pos="4153"/>
        <w:tab w:val="right" w:pos="8306"/>
      </w:tabs>
    </w:pPr>
    <w:rPr>
      <w:sz w:val="18"/>
    </w:rPr>
  </w:style>
  <w:style w:type="character" w:customStyle="1" w:styleId="FooterChar">
    <w:name w:val="Footer Char"/>
    <w:aliases w:val="zzFooter Char"/>
    <w:basedOn w:val="DefaultParagraphFont"/>
    <w:link w:val="Footer"/>
    <w:rsid w:val="00D37B70"/>
    <w:rPr>
      <w:rFonts w:ascii="Arial" w:eastAsia="Times New Roman" w:hAnsi="Arial" w:cs="Times New Roman"/>
      <w:color w:val="000000"/>
      <w:sz w:val="18"/>
      <w:szCs w:val="24"/>
      <w:lang w:eastAsia="en-GB"/>
    </w:rPr>
  </w:style>
  <w:style w:type="paragraph" w:styleId="ListParagraph">
    <w:name w:val="List Paragraph"/>
    <w:basedOn w:val="Normal"/>
    <w:link w:val="ListParagraphChar"/>
    <w:uiPriority w:val="34"/>
    <w:qFormat/>
    <w:rsid w:val="00D37B70"/>
    <w:pPr>
      <w:numPr>
        <w:numId w:val="2"/>
      </w:numPr>
      <w:tabs>
        <w:tab w:val="left" w:pos="426"/>
      </w:tabs>
    </w:pPr>
  </w:style>
  <w:style w:type="numbering" w:customStyle="1" w:styleId="StyleNumberedLeft0cmHanging075cm">
    <w:name w:val="Style Numbered Left:  0 cm Hanging:  0.75 cm"/>
    <w:basedOn w:val="NoList"/>
    <w:rsid w:val="00D37B70"/>
    <w:pPr>
      <w:numPr>
        <w:numId w:val="1"/>
      </w:numPr>
    </w:pPr>
  </w:style>
  <w:style w:type="character" w:customStyle="1" w:styleId="Firstpagetablebold">
    <w:name w:val="First page table: bold"/>
    <w:qFormat/>
    <w:rsid w:val="00D37B70"/>
    <w:rPr>
      <w:rFonts w:ascii="Arial" w:hAnsi="Arial"/>
      <w:b/>
      <w:sz w:val="24"/>
    </w:rPr>
  </w:style>
  <w:style w:type="paragraph" w:customStyle="1" w:styleId="bParagraphtext">
    <w:name w:val="bParagraph text"/>
    <w:basedOn w:val="ListParagraph"/>
    <w:link w:val="bParagraphtextChar"/>
    <w:qFormat/>
    <w:rsid w:val="00D37B70"/>
  </w:style>
  <w:style w:type="character" w:customStyle="1" w:styleId="ListParagraphChar">
    <w:name w:val="List Paragraph Char"/>
    <w:link w:val="ListParagraph"/>
    <w:uiPriority w:val="34"/>
    <w:rsid w:val="00D37B70"/>
    <w:rPr>
      <w:rFonts w:ascii="Arial" w:eastAsia="Times New Roman" w:hAnsi="Arial" w:cs="Times New Roman"/>
      <w:color w:val="000000"/>
      <w:sz w:val="24"/>
      <w:szCs w:val="24"/>
      <w:lang w:eastAsia="en-GB"/>
    </w:rPr>
  </w:style>
  <w:style w:type="character" w:customStyle="1" w:styleId="bParagraphtextChar">
    <w:name w:val="bParagraph text Char"/>
    <w:link w:val="bParagraphtext"/>
    <w:rsid w:val="00D37B70"/>
    <w:rPr>
      <w:rFonts w:ascii="Arial" w:eastAsia="Times New Roman" w:hAnsi="Arial" w:cs="Times New Roman"/>
      <w:color w:val="000000"/>
      <w:sz w:val="24"/>
      <w:szCs w:val="24"/>
      <w:lang w:eastAsia="en-GB"/>
    </w:rPr>
  </w:style>
  <w:style w:type="paragraph" w:styleId="FootnoteText">
    <w:name w:val="footnote text"/>
    <w:basedOn w:val="Normal"/>
    <w:link w:val="FootnoteTextChar"/>
    <w:uiPriority w:val="99"/>
    <w:semiHidden/>
    <w:unhideWhenUsed/>
    <w:rsid w:val="00D37B70"/>
    <w:pPr>
      <w:spacing w:after="0"/>
    </w:pPr>
    <w:rPr>
      <w:sz w:val="20"/>
      <w:szCs w:val="20"/>
    </w:rPr>
  </w:style>
  <w:style w:type="character" w:customStyle="1" w:styleId="FootnoteTextChar">
    <w:name w:val="Footnote Text Char"/>
    <w:basedOn w:val="DefaultParagraphFont"/>
    <w:link w:val="FootnoteText"/>
    <w:uiPriority w:val="99"/>
    <w:semiHidden/>
    <w:rsid w:val="00D37B70"/>
    <w:rPr>
      <w:rFonts w:ascii="Arial" w:eastAsia="Times New Roman" w:hAnsi="Arial" w:cs="Times New Roman"/>
      <w:color w:val="000000"/>
      <w:sz w:val="20"/>
      <w:szCs w:val="20"/>
      <w:lang w:eastAsia="en-GB"/>
    </w:rPr>
  </w:style>
  <w:style w:type="character" w:styleId="FootnoteReference">
    <w:name w:val="footnote reference"/>
    <w:basedOn w:val="DefaultParagraphFont"/>
    <w:uiPriority w:val="99"/>
    <w:semiHidden/>
    <w:unhideWhenUsed/>
    <w:rsid w:val="00D37B70"/>
    <w:rPr>
      <w:vertAlign w:val="superscript"/>
    </w:rPr>
  </w:style>
  <w:style w:type="character" w:styleId="Hyperlink">
    <w:name w:val="Hyperlink"/>
    <w:basedOn w:val="DefaultParagraphFont"/>
    <w:uiPriority w:val="99"/>
    <w:unhideWhenUsed/>
    <w:rsid w:val="0047609E"/>
    <w:rPr>
      <w:color w:val="0563C1" w:themeColor="hyperlink"/>
      <w:u w:val="single"/>
    </w:rPr>
  </w:style>
  <w:style w:type="paragraph" w:styleId="NormalWeb">
    <w:name w:val="Normal (Web)"/>
    <w:basedOn w:val="Normal"/>
    <w:uiPriority w:val="99"/>
    <w:semiHidden/>
    <w:unhideWhenUsed/>
    <w:rsid w:val="001B1351"/>
    <w:pPr>
      <w:spacing w:before="100" w:beforeAutospacing="1" w:after="100" w:afterAutospacing="1"/>
    </w:pPr>
    <w:rPr>
      <w:rFonts w:ascii="Times New Roman" w:hAnsi="Times New Roman"/>
      <w:color w:val="auto"/>
    </w:rPr>
  </w:style>
  <w:style w:type="paragraph" w:styleId="BalloonText">
    <w:name w:val="Balloon Text"/>
    <w:basedOn w:val="Normal"/>
    <w:link w:val="BalloonTextChar"/>
    <w:uiPriority w:val="99"/>
    <w:semiHidden/>
    <w:unhideWhenUsed/>
    <w:rsid w:val="00505E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EC5"/>
    <w:rPr>
      <w:rFonts w:ascii="Segoe UI" w:eastAsia="Times New Roman" w:hAnsi="Segoe UI" w:cs="Segoe UI"/>
      <w:color w:val="000000"/>
      <w:sz w:val="18"/>
      <w:szCs w:val="18"/>
      <w:lang w:eastAsia="en-GB"/>
    </w:rPr>
  </w:style>
  <w:style w:type="character" w:styleId="CommentReference">
    <w:name w:val="annotation reference"/>
    <w:basedOn w:val="DefaultParagraphFont"/>
    <w:uiPriority w:val="99"/>
    <w:semiHidden/>
    <w:unhideWhenUsed/>
    <w:rsid w:val="00505EC5"/>
    <w:rPr>
      <w:sz w:val="16"/>
      <w:szCs w:val="16"/>
    </w:rPr>
  </w:style>
  <w:style w:type="paragraph" w:styleId="CommentText">
    <w:name w:val="annotation text"/>
    <w:basedOn w:val="Normal"/>
    <w:link w:val="CommentTextChar"/>
    <w:uiPriority w:val="99"/>
    <w:unhideWhenUsed/>
    <w:rsid w:val="00505EC5"/>
    <w:rPr>
      <w:sz w:val="20"/>
      <w:szCs w:val="20"/>
    </w:rPr>
  </w:style>
  <w:style w:type="character" w:customStyle="1" w:styleId="CommentTextChar">
    <w:name w:val="Comment Text Char"/>
    <w:basedOn w:val="DefaultParagraphFont"/>
    <w:link w:val="CommentText"/>
    <w:uiPriority w:val="99"/>
    <w:rsid w:val="00505EC5"/>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05EC5"/>
    <w:rPr>
      <w:b/>
      <w:bCs/>
    </w:rPr>
  </w:style>
  <w:style w:type="character" w:customStyle="1" w:styleId="CommentSubjectChar">
    <w:name w:val="Comment Subject Char"/>
    <w:basedOn w:val="CommentTextChar"/>
    <w:link w:val="CommentSubject"/>
    <w:uiPriority w:val="99"/>
    <w:semiHidden/>
    <w:rsid w:val="00505EC5"/>
    <w:rPr>
      <w:rFonts w:ascii="Arial" w:eastAsia="Times New Roman" w:hAnsi="Arial" w:cs="Times New Roman"/>
      <w:b/>
      <w:bCs/>
      <w:color w:val="000000"/>
      <w:sz w:val="20"/>
      <w:szCs w:val="20"/>
      <w:lang w:eastAsia="en-GB"/>
    </w:rPr>
  </w:style>
  <w:style w:type="paragraph" w:customStyle="1" w:styleId="xmsonormal">
    <w:name w:val="x_msonormal"/>
    <w:basedOn w:val="Normal"/>
    <w:rsid w:val="00BB1563"/>
    <w:pPr>
      <w:spacing w:after="0"/>
    </w:pPr>
    <w:rPr>
      <w:rFonts w:ascii="Calibri" w:eastAsiaTheme="minorHAnsi" w:hAnsi="Calibri" w:cs="Calibri"/>
      <w:color w:val="auto"/>
      <w:sz w:val="22"/>
      <w:szCs w:val="22"/>
    </w:rPr>
  </w:style>
  <w:style w:type="paragraph" w:customStyle="1" w:styleId="xmsolistparagraph">
    <w:name w:val="x_msolistparagraph"/>
    <w:basedOn w:val="Normal"/>
    <w:rsid w:val="00BB1563"/>
    <w:pPr>
      <w:spacing w:after="0"/>
      <w:ind w:left="720"/>
    </w:pPr>
    <w:rPr>
      <w:rFonts w:ascii="Calibri" w:eastAsiaTheme="minorHAnsi" w:hAnsi="Calibri" w:cs="Calibri"/>
      <w:color w:val="auto"/>
      <w:sz w:val="22"/>
      <w:szCs w:val="22"/>
    </w:rPr>
  </w:style>
  <w:style w:type="paragraph" w:styleId="EndnoteText">
    <w:name w:val="endnote text"/>
    <w:basedOn w:val="Normal"/>
    <w:link w:val="EndnoteTextChar"/>
    <w:uiPriority w:val="99"/>
    <w:semiHidden/>
    <w:unhideWhenUsed/>
    <w:rsid w:val="001B00DA"/>
    <w:pPr>
      <w:spacing w:after="0"/>
    </w:pPr>
    <w:rPr>
      <w:rFonts w:eastAsiaTheme="minorHAnsi" w:cs="Arial"/>
      <w:color w:val="auto"/>
      <w:sz w:val="20"/>
      <w:szCs w:val="20"/>
    </w:rPr>
  </w:style>
  <w:style w:type="character" w:customStyle="1" w:styleId="EndnoteTextChar">
    <w:name w:val="Endnote Text Char"/>
    <w:basedOn w:val="DefaultParagraphFont"/>
    <w:link w:val="EndnoteText"/>
    <w:uiPriority w:val="99"/>
    <w:semiHidden/>
    <w:rsid w:val="001B00DA"/>
    <w:rPr>
      <w:rFonts w:ascii="Arial" w:hAnsi="Arial" w:cs="Arial"/>
      <w:sz w:val="20"/>
      <w:szCs w:val="20"/>
      <w:lang w:eastAsia="en-GB"/>
    </w:rPr>
  </w:style>
  <w:style w:type="character" w:styleId="FollowedHyperlink">
    <w:name w:val="FollowedHyperlink"/>
    <w:basedOn w:val="DefaultParagraphFont"/>
    <w:uiPriority w:val="99"/>
    <w:semiHidden/>
    <w:unhideWhenUsed/>
    <w:rsid w:val="00717A0E"/>
    <w:rPr>
      <w:color w:val="954F72"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4">
    <w:name w:val="Grid Table 4"/>
    <w:basedOn w:val="TableNormal"/>
    <w:uiPriority w:val="4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02030"/>
    <w:pPr>
      <w:spacing w:after="0" w:line="240" w:lineRule="auto"/>
    </w:pPr>
    <w:rPr>
      <w:rFonts w:ascii="Arial" w:eastAsia="Times New Roman" w:hAnsi="Arial" w:cs="Times New Roman"/>
      <w:color w:val="000000"/>
      <w:sz w:val="24"/>
      <w:szCs w:val="24"/>
      <w:lang w:eastAsia="en-GB"/>
    </w:rPr>
  </w:style>
  <w:style w:type="character" w:styleId="Strong">
    <w:name w:val="Strong"/>
    <w:basedOn w:val="DefaultParagraphFont"/>
    <w:uiPriority w:val="22"/>
    <w:qFormat/>
    <w:rsid w:val="00586EAB"/>
    <w:rPr>
      <w:b/>
      <w:bCs/>
    </w:rPr>
  </w:style>
  <w:style w:type="character" w:customStyle="1" w:styleId="Heading2Char">
    <w:name w:val="Heading 2 Char"/>
    <w:basedOn w:val="DefaultParagraphFont"/>
    <w:link w:val="Heading2"/>
    <w:uiPriority w:val="9"/>
    <w:rsid w:val="00732742"/>
    <w:rPr>
      <w:rFonts w:asciiTheme="majorHAnsi" w:eastAsiaTheme="majorEastAsia" w:hAnsiTheme="majorHAnsi" w:cstheme="majorBidi"/>
      <w:color w:val="2E74B5" w:themeColor="accent1" w:themeShade="BF"/>
      <w:sz w:val="26"/>
      <w:szCs w:val="26"/>
    </w:rPr>
  </w:style>
</w:styles>
</file>

<file path=word/tasks.xml><?xml version="1.0" encoding="utf-8"?>
<t:Tasks xmlns:t="http://schemas.microsoft.com/office/tasks/2019/documenttasks" xmlns:oel="http://schemas.microsoft.com/office/2019/extlst">
  <t:Task id="{AF22EED8-4AAD-42F1-99D7-EB05ED668E42}">
    <t:Anchor>
      <t:Comment id="110146808"/>
    </t:Anchor>
    <t:History>
      <t:Event id="{39678B41-9ECA-4CC2-91AC-55D8E7D80AFB}" time="2021-10-27T13:14:41.429Z">
        <t:Attribution userId="S::jbaughan@oxford.gov.uk::0e50ec99-0d27-4105-92f4-113c226171b2" userProvider="AD" userName="BAUGHAN James"/>
        <t:Anchor>
          <t:Comment id="110146808"/>
        </t:Anchor>
        <t:Create/>
      </t:Event>
      <t:Event id="{F68BD378-86D3-4F3F-B0D7-262B21904874}" time="2021-10-27T13:14:41.429Z">
        <t:Attribution userId="S::jbaughan@oxford.gov.uk::0e50ec99-0d27-4105-92f4-113c226171b2" userProvider="AD" userName="BAUGHAN James"/>
        <t:Anchor>
          <t:Comment id="110146808"/>
        </t:Anchor>
        <t:Assign userId="S::AGREEN@oxford.gov.uk::aa72827a-61c5-4efa-8501-695bc3136556" userProvider="AD" userName="GREEN Adrian"/>
      </t:Event>
      <t:Event id="{7280EB6B-ABED-4699-ABE1-BC8E536650C5}" time="2021-10-27T13:14:41.429Z">
        <t:Attribution userId="S::jbaughan@oxford.gov.uk::0e50ec99-0d27-4105-92f4-113c226171b2" userProvider="AD" userName="BAUGHAN James"/>
        <t:Anchor>
          <t:Comment id="110146808"/>
        </t:Anchor>
        <t:SetTitle title="This needs updating - @GREEN Adrian - one for you, I think"/>
      </t:Event>
    </t:History>
  </t:Task>
  <t:Task id="{882D2B71-8770-4987-98CE-2C4A8AC59603}">
    <t:Anchor>
      <t:Comment id="1049208469"/>
    </t:Anchor>
    <t:History>
      <t:Event id="{8B92B49E-240C-4882-AEA5-EF81C7FF58F0}" time="2021-10-27T13:25:27.557Z">
        <t:Attribution userId="S::cmurdoch@oxford.gov.uk::13274b82-b4f5-4eaf-acb1-20d75e2a2adb" userProvider="AD" userName="MURDOCH Calum"/>
        <t:Anchor>
          <t:Comment id="1401605208"/>
        </t:Anchor>
        <t:Create/>
      </t:Event>
      <t:Event id="{3AF88244-D1FF-47F6-B1C5-24F2BB947E56}" time="2021-10-27T13:25:27.557Z">
        <t:Attribution userId="S::cmurdoch@oxford.gov.uk::13274b82-b4f5-4eaf-acb1-20d75e2a2adb" userProvider="AD" userName="MURDOCH Calum"/>
        <t:Anchor>
          <t:Comment id="1401605208"/>
        </t:Anchor>
        <t:Assign userId="S::jbaughan@oxford.gov.uk::0e50ec99-0d27-4105-92f4-113c226171b2" userProvider="AD" userName="BAUGHAN James"/>
      </t:Event>
      <t:Event id="{0351733F-F449-4DE8-9ADF-5B5090A06B0F}" time="2021-10-27T13:25:27.557Z">
        <t:Attribution userId="S::cmurdoch@oxford.gov.uk::13274b82-b4f5-4eaf-acb1-20d75e2a2adb" userProvider="AD" userName="MURDOCH Calum"/>
        <t:Anchor>
          <t:Comment id="1401605208"/>
        </t:Anchor>
        <t:SetTitle title="@BAUGHAN James are you able to work this? Personally I don't think the Covid Winter / Local Support Grant should be in here."/>
      </t:Event>
    </t:History>
  </t:Task>
  <t:Task id="{ADA6A624-86A5-4D13-82E0-8785C9F74E4C}">
    <t:Anchor>
      <t:Comment id="1087962774"/>
    </t:Anchor>
    <t:History>
      <t:Event id="{4E85A4B5-B1BC-4713-AA96-F9119A5F86EE}" time="2021-10-27T13:26:14.951Z">
        <t:Attribution userId="S::cmurdoch@oxford.gov.uk::13274b82-b4f5-4eaf-acb1-20d75e2a2adb" userProvider="AD" userName="MURDOCH Calum"/>
        <t:Anchor>
          <t:Comment id="1228862661"/>
        </t:Anchor>
        <t:Create/>
      </t:Event>
      <t:Event id="{375285AE-183B-4D5E-8557-43CA8775B980}" time="2021-10-27T13:26:14.951Z">
        <t:Attribution userId="S::cmurdoch@oxford.gov.uk::13274b82-b4f5-4eaf-acb1-20d75e2a2adb" userProvider="AD" userName="MURDOCH Calum"/>
        <t:Anchor>
          <t:Comment id="1228862661"/>
        </t:Anchor>
        <t:Assign userId="S::jbaughan@oxford.gov.uk::0e50ec99-0d27-4105-92f4-113c226171b2" userProvider="AD" userName="BAUGHAN James"/>
      </t:Event>
      <t:Event id="{C261EA98-C952-42A7-824B-AEC22D98F160}" time="2021-10-27T13:26:14.951Z">
        <t:Attribution userId="S::cmurdoch@oxford.gov.uk::13274b82-b4f5-4eaf-acb1-20d75e2a2adb" userProvider="AD" userName="MURDOCH Calum"/>
        <t:Anchor>
          <t:Comment id="1228862661"/>
        </t:Anchor>
        <t:SetTitle title="@BAUGHAN James if this does stay in we should also include Local Support Grant for constituencies sake"/>
      </t:Event>
      <t:Event id="{C2FC00FD-A0A3-4CFE-981D-632BE156B392}" time="2021-10-27T13:47:55.695Z">
        <t:Attribution userId="S::jbaughan@oxford.gov.uk::0e50ec99-0d27-4105-92f4-113c226171b2" userProvider="AD" userName="BAUGHAN James"/>
        <t:Progress percentComplete="100"/>
      </t:Event>
    </t:History>
  </t:Task>
  <t:Task id="{B00BB171-4E01-4513-9869-24BFF1A481DE}">
    <t:Anchor>
      <t:Comment id="1813843378"/>
    </t:Anchor>
    <t:History>
      <t:Event id="{A8F8BFFE-8A10-49B4-93E9-3DBC080FED7F}" time="2021-10-27T13:54:47.516Z">
        <t:Attribution userId="S::jbaughan@oxford.gov.uk::0e50ec99-0d27-4105-92f4-113c226171b2" userProvider="AD" userName="BAUGHAN James"/>
        <t:Anchor>
          <t:Comment id="1813843378"/>
        </t:Anchor>
        <t:Create/>
      </t:Event>
      <t:Event id="{D293D0B6-5C5F-4653-8F75-12A94F5B78EB}" time="2021-10-27T13:54:47.516Z">
        <t:Attribution userId="S::jbaughan@oxford.gov.uk::0e50ec99-0d27-4105-92f4-113c226171b2" userProvider="AD" userName="BAUGHAN James"/>
        <t:Anchor>
          <t:Comment id="1813843378"/>
        </t:Anchor>
        <t:Assign userId="S::CMURDOCH@oxford.gov.uk::13274b82-b4f5-4eaf-acb1-20d75e2a2adb" userProvider="AD" userName="MURDOCH Calum"/>
      </t:Event>
      <t:Event id="{66F1F272-94FD-4AF4-B57E-3DCD976543F0}" time="2021-10-27T13:54:47.516Z">
        <t:Attribution userId="S::jbaughan@oxford.gov.uk::0e50ec99-0d27-4105-92f4-113c226171b2" userProvider="AD" userName="BAUGHAN James"/>
        <t:Anchor>
          <t:Comment id="1813843378"/>
        </t:Anchor>
        <t:SetTitle title="@MURDOCH Calum this needs re-wording but I can't think of anything right now - maybe one to go through together at 3?"/>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8281">
      <w:bodyDiv w:val="1"/>
      <w:marLeft w:val="0"/>
      <w:marRight w:val="0"/>
      <w:marTop w:val="0"/>
      <w:marBottom w:val="0"/>
      <w:divBdr>
        <w:top w:val="none" w:sz="0" w:space="0" w:color="auto"/>
        <w:left w:val="none" w:sz="0" w:space="0" w:color="auto"/>
        <w:bottom w:val="none" w:sz="0" w:space="0" w:color="auto"/>
        <w:right w:val="none" w:sz="0" w:space="0" w:color="auto"/>
      </w:divBdr>
    </w:div>
    <w:div w:id="151412866">
      <w:bodyDiv w:val="1"/>
      <w:marLeft w:val="0"/>
      <w:marRight w:val="0"/>
      <w:marTop w:val="0"/>
      <w:marBottom w:val="0"/>
      <w:divBdr>
        <w:top w:val="none" w:sz="0" w:space="0" w:color="auto"/>
        <w:left w:val="none" w:sz="0" w:space="0" w:color="auto"/>
        <w:bottom w:val="none" w:sz="0" w:space="0" w:color="auto"/>
        <w:right w:val="none" w:sz="0" w:space="0" w:color="auto"/>
      </w:divBdr>
    </w:div>
    <w:div w:id="222571266">
      <w:bodyDiv w:val="1"/>
      <w:marLeft w:val="0"/>
      <w:marRight w:val="0"/>
      <w:marTop w:val="0"/>
      <w:marBottom w:val="0"/>
      <w:divBdr>
        <w:top w:val="none" w:sz="0" w:space="0" w:color="auto"/>
        <w:left w:val="none" w:sz="0" w:space="0" w:color="auto"/>
        <w:bottom w:val="none" w:sz="0" w:space="0" w:color="auto"/>
        <w:right w:val="none" w:sz="0" w:space="0" w:color="auto"/>
      </w:divBdr>
    </w:div>
    <w:div w:id="352070401">
      <w:bodyDiv w:val="1"/>
      <w:marLeft w:val="0"/>
      <w:marRight w:val="0"/>
      <w:marTop w:val="0"/>
      <w:marBottom w:val="0"/>
      <w:divBdr>
        <w:top w:val="none" w:sz="0" w:space="0" w:color="auto"/>
        <w:left w:val="none" w:sz="0" w:space="0" w:color="auto"/>
        <w:bottom w:val="none" w:sz="0" w:space="0" w:color="auto"/>
        <w:right w:val="none" w:sz="0" w:space="0" w:color="auto"/>
      </w:divBdr>
    </w:div>
    <w:div w:id="382368238">
      <w:bodyDiv w:val="1"/>
      <w:marLeft w:val="0"/>
      <w:marRight w:val="0"/>
      <w:marTop w:val="0"/>
      <w:marBottom w:val="0"/>
      <w:divBdr>
        <w:top w:val="none" w:sz="0" w:space="0" w:color="auto"/>
        <w:left w:val="none" w:sz="0" w:space="0" w:color="auto"/>
        <w:bottom w:val="none" w:sz="0" w:space="0" w:color="auto"/>
        <w:right w:val="none" w:sz="0" w:space="0" w:color="auto"/>
      </w:divBdr>
    </w:div>
    <w:div w:id="384571485">
      <w:bodyDiv w:val="1"/>
      <w:marLeft w:val="0"/>
      <w:marRight w:val="0"/>
      <w:marTop w:val="0"/>
      <w:marBottom w:val="0"/>
      <w:divBdr>
        <w:top w:val="none" w:sz="0" w:space="0" w:color="auto"/>
        <w:left w:val="none" w:sz="0" w:space="0" w:color="auto"/>
        <w:bottom w:val="none" w:sz="0" w:space="0" w:color="auto"/>
        <w:right w:val="none" w:sz="0" w:space="0" w:color="auto"/>
      </w:divBdr>
    </w:div>
    <w:div w:id="387339614">
      <w:bodyDiv w:val="1"/>
      <w:marLeft w:val="0"/>
      <w:marRight w:val="0"/>
      <w:marTop w:val="0"/>
      <w:marBottom w:val="0"/>
      <w:divBdr>
        <w:top w:val="none" w:sz="0" w:space="0" w:color="auto"/>
        <w:left w:val="none" w:sz="0" w:space="0" w:color="auto"/>
        <w:bottom w:val="none" w:sz="0" w:space="0" w:color="auto"/>
        <w:right w:val="none" w:sz="0" w:space="0" w:color="auto"/>
      </w:divBdr>
    </w:div>
    <w:div w:id="463423865">
      <w:bodyDiv w:val="1"/>
      <w:marLeft w:val="0"/>
      <w:marRight w:val="0"/>
      <w:marTop w:val="0"/>
      <w:marBottom w:val="0"/>
      <w:divBdr>
        <w:top w:val="none" w:sz="0" w:space="0" w:color="auto"/>
        <w:left w:val="none" w:sz="0" w:space="0" w:color="auto"/>
        <w:bottom w:val="none" w:sz="0" w:space="0" w:color="auto"/>
        <w:right w:val="none" w:sz="0" w:space="0" w:color="auto"/>
      </w:divBdr>
    </w:div>
    <w:div w:id="465396223">
      <w:bodyDiv w:val="1"/>
      <w:marLeft w:val="0"/>
      <w:marRight w:val="0"/>
      <w:marTop w:val="0"/>
      <w:marBottom w:val="0"/>
      <w:divBdr>
        <w:top w:val="none" w:sz="0" w:space="0" w:color="auto"/>
        <w:left w:val="none" w:sz="0" w:space="0" w:color="auto"/>
        <w:bottom w:val="none" w:sz="0" w:space="0" w:color="auto"/>
        <w:right w:val="none" w:sz="0" w:space="0" w:color="auto"/>
      </w:divBdr>
    </w:div>
    <w:div w:id="551576300">
      <w:bodyDiv w:val="1"/>
      <w:marLeft w:val="0"/>
      <w:marRight w:val="0"/>
      <w:marTop w:val="0"/>
      <w:marBottom w:val="0"/>
      <w:divBdr>
        <w:top w:val="none" w:sz="0" w:space="0" w:color="auto"/>
        <w:left w:val="none" w:sz="0" w:space="0" w:color="auto"/>
        <w:bottom w:val="none" w:sz="0" w:space="0" w:color="auto"/>
        <w:right w:val="none" w:sz="0" w:space="0" w:color="auto"/>
      </w:divBdr>
    </w:div>
    <w:div w:id="630719276">
      <w:bodyDiv w:val="1"/>
      <w:marLeft w:val="0"/>
      <w:marRight w:val="0"/>
      <w:marTop w:val="0"/>
      <w:marBottom w:val="0"/>
      <w:divBdr>
        <w:top w:val="none" w:sz="0" w:space="0" w:color="auto"/>
        <w:left w:val="none" w:sz="0" w:space="0" w:color="auto"/>
        <w:bottom w:val="none" w:sz="0" w:space="0" w:color="auto"/>
        <w:right w:val="none" w:sz="0" w:space="0" w:color="auto"/>
      </w:divBdr>
    </w:div>
    <w:div w:id="683047048">
      <w:bodyDiv w:val="1"/>
      <w:marLeft w:val="0"/>
      <w:marRight w:val="0"/>
      <w:marTop w:val="0"/>
      <w:marBottom w:val="0"/>
      <w:divBdr>
        <w:top w:val="none" w:sz="0" w:space="0" w:color="auto"/>
        <w:left w:val="none" w:sz="0" w:space="0" w:color="auto"/>
        <w:bottom w:val="none" w:sz="0" w:space="0" w:color="auto"/>
        <w:right w:val="none" w:sz="0" w:space="0" w:color="auto"/>
      </w:divBdr>
    </w:div>
    <w:div w:id="751462926">
      <w:bodyDiv w:val="1"/>
      <w:marLeft w:val="0"/>
      <w:marRight w:val="0"/>
      <w:marTop w:val="0"/>
      <w:marBottom w:val="0"/>
      <w:divBdr>
        <w:top w:val="none" w:sz="0" w:space="0" w:color="auto"/>
        <w:left w:val="none" w:sz="0" w:space="0" w:color="auto"/>
        <w:bottom w:val="none" w:sz="0" w:space="0" w:color="auto"/>
        <w:right w:val="none" w:sz="0" w:space="0" w:color="auto"/>
      </w:divBdr>
    </w:div>
    <w:div w:id="970090894">
      <w:bodyDiv w:val="1"/>
      <w:marLeft w:val="0"/>
      <w:marRight w:val="0"/>
      <w:marTop w:val="0"/>
      <w:marBottom w:val="0"/>
      <w:divBdr>
        <w:top w:val="none" w:sz="0" w:space="0" w:color="auto"/>
        <w:left w:val="none" w:sz="0" w:space="0" w:color="auto"/>
        <w:bottom w:val="none" w:sz="0" w:space="0" w:color="auto"/>
        <w:right w:val="none" w:sz="0" w:space="0" w:color="auto"/>
      </w:divBdr>
    </w:div>
    <w:div w:id="1038553913">
      <w:bodyDiv w:val="1"/>
      <w:marLeft w:val="0"/>
      <w:marRight w:val="0"/>
      <w:marTop w:val="0"/>
      <w:marBottom w:val="0"/>
      <w:divBdr>
        <w:top w:val="none" w:sz="0" w:space="0" w:color="auto"/>
        <w:left w:val="none" w:sz="0" w:space="0" w:color="auto"/>
        <w:bottom w:val="none" w:sz="0" w:space="0" w:color="auto"/>
        <w:right w:val="none" w:sz="0" w:space="0" w:color="auto"/>
      </w:divBdr>
    </w:div>
    <w:div w:id="1061901281">
      <w:bodyDiv w:val="1"/>
      <w:marLeft w:val="0"/>
      <w:marRight w:val="0"/>
      <w:marTop w:val="0"/>
      <w:marBottom w:val="0"/>
      <w:divBdr>
        <w:top w:val="none" w:sz="0" w:space="0" w:color="auto"/>
        <w:left w:val="none" w:sz="0" w:space="0" w:color="auto"/>
        <w:bottom w:val="none" w:sz="0" w:space="0" w:color="auto"/>
        <w:right w:val="none" w:sz="0" w:space="0" w:color="auto"/>
      </w:divBdr>
      <w:divsChild>
        <w:div w:id="455876210">
          <w:marLeft w:val="547"/>
          <w:marRight w:val="0"/>
          <w:marTop w:val="0"/>
          <w:marBottom w:val="0"/>
          <w:divBdr>
            <w:top w:val="none" w:sz="0" w:space="0" w:color="auto"/>
            <w:left w:val="none" w:sz="0" w:space="0" w:color="auto"/>
            <w:bottom w:val="none" w:sz="0" w:space="0" w:color="auto"/>
            <w:right w:val="none" w:sz="0" w:space="0" w:color="auto"/>
          </w:divBdr>
        </w:div>
        <w:div w:id="778328916">
          <w:marLeft w:val="547"/>
          <w:marRight w:val="0"/>
          <w:marTop w:val="120"/>
          <w:marBottom w:val="0"/>
          <w:divBdr>
            <w:top w:val="none" w:sz="0" w:space="0" w:color="auto"/>
            <w:left w:val="none" w:sz="0" w:space="0" w:color="auto"/>
            <w:bottom w:val="none" w:sz="0" w:space="0" w:color="auto"/>
            <w:right w:val="none" w:sz="0" w:space="0" w:color="auto"/>
          </w:divBdr>
        </w:div>
        <w:div w:id="1353535696">
          <w:marLeft w:val="547"/>
          <w:marRight w:val="0"/>
          <w:marTop w:val="120"/>
          <w:marBottom w:val="0"/>
          <w:divBdr>
            <w:top w:val="none" w:sz="0" w:space="0" w:color="auto"/>
            <w:left w:val="none" w:sz="0" w:space="0" w:color="auto"/>
            <w:bottom w:val="none" w:sz="0" w:space="0" w:color="auto"/>
            <w:right w:val="none" w:sz="0" w:space="0" w:color="auto"/>
          </w:divBdr>
        </w:div>
        <w:div w:id="1416318234">
          <w:marLeft w:val="547"/>
          <w:marRight w:val="0"/>
          <w:marTop w:val="0"/>
          <w:marBottom w:val="0"/>
          <w:divBdr>
            <w:top w:val="none" w:sz="0" w:space="0" w:color="auto"/>
            <w:left w:val="none" w:sz="0" w:space="0" w:color="auto"/>
            <w:bottom w:val="none" w:sz="0" w:space="0" w:color="auto"/>
            <w:right w:val="none" w:sz="0" w:space="0" w:color="auto"/>
          </w:divBdr>
        </w:div>
        <w:div w:id="1616517831">
          <w:marLeft w:val="547"/>
          <w:marRight w:val="0"/>
          <w:marTop w:val="0"/>
          <w:marBottom w:val="0"/>
          <w:divBdr>
            <w:top w:val="none" w:sz="0" w:space="0" w:color="auto"/>
            <w:left w:val="none" w:sz="0" w:space="0" w:color="auto"/>
            <w:bottom w:val="none" w:sz="0" w:space="0" w:color="auto"/>
            <w:right w:val="none" w:sz="0" w:space="0" w:color="auto"/>
          </w:divBdr>
        </w:div>
        <w:div w:id="1714691934">
          <w:marLeft w:val="547"/>
          <w:marRight w:val="0"/>
          <w:marTop w:val="120"/>
          <w:marBottom w:val="0"/>
          <w:divBdr>
            <w:top w:val="none" w:sz="0" w:space="0" w:color="auto"/>
            <w:left w:val="none" w:sz="0" w:space="0" w:color="auto"/>
            <w:bottom w:val="none" w:sz="0" w:space="0" w:color="auto"/>
            <w:right w:val="none" w:sz="0" w:space="0" w:color="auto"/>
          </w:divBdr>
        </w:div>
        <w:div w:id="1998458337">
          <w:marLeft w:val="547"/>
          <w:marRight w:val="0"/>
          <w:marTop w:val="120"/>
          <w:marBottom w:val="0"/>
          <w:divBdr>
            <w:top w:val="none" w:sz="0" w:space="0" w:color="auto"/>
            <w:left w:val="none" w:sz="0" w:space="0" w:color="auto"/>
            <w:bottom w:val="none" w:sz="0" w:space="0" w:color="auto"/>
            <w:right w:val="none" w:sz="0" w:space="0" w:color="auto"/>
          </w:divBdr>
        </w:div>
      </w:divsChild>
    </w:div>
    <w:div w:id="1167676471">
      <w:bodyDiv w:val="1"/>
      <w:marLeft w:val="0"/>
      <w:marRight w:val="0"/>
      <w:marTop w:val="0"/>
      <w:marBottom w:val="0"/>
      <w:divBdr>
        <w:top w:val="none" w:sz="0" w:space="0" w:color="auto"/>
        <w:left w:val="none" w:sz="0" w:space="0" w:color="auto"/>
        <w:bottom w:val="none" w:sz="0" w:space="0" w:color="auto"/>
        <w:right w:val="none" w:sz="0" w:space="0" w:color="auto"/>
      </w:divBdr>
    </w:div>
    <w:div w:id="1175537033">
      <w:bodyDiv w:val="1"/>
      <w:marLeft w:val="0"/>
      <w:marRight w:val="0"/>
      <w:marTop w:val="0"/>
      <w:marBottom w:val="0"/>
      <w:divBdr>
        <w:top w:val="none" w:sz="0" w:space="0" w:color="auto"/>
        <w:left w:val="none" w:sz="0" w:space="0" w:color="auto"/>
        <w:bottom w:val="none" w:sz="0" w:space="0" w:color="auto"/>
        <w:right w:val="none" w:sz="0" w:space="0" w:color="auto"/>
      </w:divBdr>
    </w:div>
    <w:div w:id="1355569848">
      <w:bodyDiv w:val="1"/>
      <w:marLeft w:val="0"/>
      <w:marRight w:val="0"/>
      <w:marTop w:val="0"/>
      <w:marBottom w:val="0"/>
      <w:divBdr>
        <w:top w:val="none" w:sz="0" w:space="0" w:color="auto"/>
        <w:left w:val="none" w:sz="0" w:space="0" w:color="auto"/>
        <w:bottom w:val="none" w:sz="0" w:space="0" w:color="auto"/>
        <w:right w:val="none" w:sz="0" w:space="0" w:color="auto"/>
      </w:divBdr>
    </w:div>
    <w:div w:id="1390574090">
      <w:bodyDiv w:val="1"/>
      <w:marLeft w:val="0"/>
      <w:marRight w:val="0"/>
      <w:marTop w:val="0"/>
      <w:marBottom w:val="0"/>
      <w:divBdr>
        <w:top w:val="none" w:sz="0" w:space="0" w:color="auto"/>
        <w:left w:val="none" w:sz="0" w:space="0" w:color="auto"/>
        <w:bottom w:val="none" w:sz="0" w:space="0" w:color="auto"/>
        <w:right w:val="none" w:sz="0" w:space="0" w:color="auto"/>
      </w:divBdr>
    </w:div>
    <w:div w:id="1606037927">
      <w:bodyDiv w:val="1"/>
      <w:marLeft w:val="0"/>
      <w:marRight w:val="0"/>
      <w:marTop w:val="0"/>
      <w:marBottom w:val="0"/>
      <w:divBdr>
        <w:top w:val="none" w:sz="0" w:space="0" w:color="auto"/>
        <w:left w:val="none" w:sz="0" w:space="0" w:color="auto"/>
        <w:bottom w:val="none" w:sz="0" w:space="0" w:color="auto"/>
        <w:right w:val="none" w:sz="0" w:space="0" w:color="auto"/>
      </w:divBdr>
    </w:div>
    <w:div w:id="1684093116">
      <w:bodyDiv w:val="1"/>
      <w:marLeft w:val="0"/>
      <w:marRight w:val="0"/>
      <w:marTop w:val="0"/>
      <w:marBottom w:val="0"/>
      <w:divBdr>
        <w:top w:val="none" w:sz="0" w:space="0" w:color="auto"/>
        <w:left w:val="none" w:sz="0" w:space="0" w:color="auto"/>
        <w:bottom w:val="none" w:sz="0" w:space="0" w:color="auto"/>
        <w:right w:val="none" w:sz="0" w:space="0" w:color="auto"/>
      </w:divBdr>
    </w:div>
    <w:div w:id="1859156698">
      <w:bodyDiv w:val="1"/>
      <w:marLeft w:val="0"/>
      <w:marRight w:val="0"/>
      <w:marTop w:val="0"/>
      <w:marBottom w:val="0"/>
      <w:divBdr>
        <w:top w:val="none" w:sz="0" w:space="0" w:color="auto"/>
        <w:left w:val="none" w:sz="0" w:space="0" w:color="auto"/>
        <w:bottom w:val="none" w:sz="0" w:space="0" w:color="auto"/>
        <w:right w:val="none" w:sz="0" w:space="0" w:color="auto"/>
      </w:divBdr>
    </w:div>
    <w:div w:id="2032368626">
      <w:bodyDiv w:val="1"/>
      <w:marLeft w:val="0"/>
      <w:marRight w:val="0"/>
      <w:marTop w:val="0"/>
      <w:marBottom w:val="0"/>
      <w:divBdr>
        <w:top w:val="none" w:sz="0" w:space="0" w:color="auto"/>
        <w:left w:val="none" w:sz="0" w:space="0" w:color="auto"/>
        <w:bottom w:val="none" w:sz="0" w:space="0" w:color="auto"/>
        <w:right w:val="none" w:sz="0" w:space="0" w:color="auto"/>
      </w:divBdr>
    </w:div>
    <w:div w:id="2131896585">
      <w:bodyDiv w:val="1"/>
      <w:marLeft w:val="0"/>
      <w:marRight w:val="0"/>
      <w:marTop w:val="0"/>
      <w:marBottom w:val="0"/>
      <w:divBdr>
        <w:top w:val="none" w:sz="0" w:space="0" w:color="auto"/>
        <w:left w:val="none" w:sz="0" w:space="0" w:color="auto"/>
        <w:bottom w:val="none" w:sz="0" w:space="0" w:color="auto"/>
        <w:right w:val="none" w:sz="0" w:space="0" w:color="auto"/>
      </w:divBdr>
    </w:div>
    <w:div w:id="21386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149" TargetMode="External"/><Relationship Id="rId13" Type="http://schemas.openxmlformats.org/officeDocument/2006/relationships/hyperlink" Target="http://www.legislation.gov.uk/ukpga/2010/15/section/14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equality-act-2010-guidance" TargetMode="External"/><Relationship Id="rId17" Type="http://schemas.openxmlformats.org/officeDocument/2006/relationships/hyperlink" Target="mailto:ibrooke@oxford.gov.uk" TargetMode="External"/><Relationship Id="R83b913dc90e845b8" Type="http://schemas.microsoft.com/office/2019/05/relationships/documenttasks" Target="tasks.xml"/><Relationship Id="rId2" Type="http://schemas.openxmlformats.org/officeDocument/2006/relationships/numbering" Target="numbering.xml"/><Relationship Id="rId16" Type="http://schemas.openxmlformats.org/officeDocument/2006/relationships/hyperlink" Target="http://www.legislation.gov.uk/ukpga/2010/15/section/14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ituteofhealthequity.org/about-our-work/latest-updates-from-the-institute/build-back-fairer" TargetMode="External"/><Relationship Id="Re23aec827bb04607"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yperlink" Target="https://www.gov.uk/guidance/equality-act-2010-guidance" TargetMode="External"/><Relationship Id="R0509a76454094cb1" Type="http://schemas.microsoft.com/office/2018/08/relationships/commentsExtensible" Target="commentsExtensible.xml"/><Relationship Id="rId10" Type="http://schemas.openxmlformats.org/officeDocument/2006/relationships/hyperlink" Target="https://ifs.org.uk/inequality/inequalities-in-education-skills-and-incomes-in-the-uk-the-implications-of-the-covid-19-pandemic/" TargetMode="External"/><Relationship Id="rId19" Type="http://schemas.openxmlformats.org/officeDocument/2006/relationships/header" Target="header1.xml"/><Relationship Id="R9fc10d47465444fe"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analytics.phe.gov.uk/apps/chime/" TargetMode="External"/><Relationship Id="rId14" Type="http://schemas.openxmlformats.org/officeDocument/2006/relationships/hyperlink" Target="https://www.local.gov.uk/our-support/guidance-and-resources/equality-frameworks/equality-framework-local-govern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FE40-023D-4104-BF52-08CF6D5E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FFB20935</Template>
  <TotalTime>23</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Ian</dc:creator>
  <cp:keywords/>
  <dc:description/>
  <cp:lastModifiedBy>COURTNEY Alice</cp:lastModifiedBy>
  <cp:revision>7</cp:revision>
  <dcterms:created xsi:type="dcterms:W3CDTF">2022-02-22T14:20:00Z</dcterms:created>
  <dcterms:modified xsi:type="dcterms:W3CDTF">2022-02-22T17:44:00Z</dcterms:modified>
</cp:coreProperties>
</file>